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auto"/>
        <w:jc w:val="both"/>
        <w:rPr>
          <w:rFonts w:ascii="仿宋" w:hAnsi="仿宋" w:eastAsia="仿宋"/>
        </w:rPr>
      </w:pPr>
    </w:p>
    <w:p>
      <w:pPr>
        <w:spacing w:line="341" w:lineRule="auto"/>
        <w:jc w:val="both"/>
        <w:rPr>
          <w:rFonts w:ascii="仿宋" w:hAnsi="仿宋" w:eastAsia="仿宋"/>
        </w:rPr>
      </w:pPr>
    </w:p>
    <w:p>
      <w:pPr>
        <w:spacing w:before="184" w:line="215" w:lineRule="auto"/>
        <w:ind w:left="175"/>
        <w:jc w:val="both"/>
        <w:outlineLvl w:val="0"/>
        <w:rPr>
          <w:rFonts w:ascii="仿宋" w:hAnsi="仿宋" w:eastAsia="仿宋" w:cs="微软雅黑"/>
          <w:b/>
          <w:bCs/>
          <w:sz w:val="43"/>
          <w:szCs w:val="43"/>
        </w:rPr>
      </w:pPr>
      <w:r>
        <w:rPr>
          <w:rFonts w:ascii="仿宋" w:hAnsi="仿宋" w:eastAsia="仿宋" w:cs="微软雅黑"/>
          <w:b/>
          <w:bCs/>
          <w:color w:val="333333"/>
          <w:spacing w:val="1"/>
          <w:sz w:val="43"/>
          <w:szCs w:val="43"/>
        </w:rPr>
        <w:t>2023年区国资局出资企业国有</w:t>
      </w:r>
      <w:r>
        <w:rPr>
          <w:rFonts w:ascii="仿宋" w:hAnsi="仿宋" w:eastAsia="仿宋" w:cs="微软雅黑"/>
          <w:b/>
          <w:bCs/>
          <w:color w:val="333333"/>
          <w:sz w:val="43"/>
          <w:szCs w:val="43"/>
        </w:rPr>
        <w:t>资本经营预算</w:t>
      </w:r>
    </w:p>
    <w:p>
      <w:pPr>
        <w:spacing w:line="293" w:lineRule="auto"/>
        <w:jc w:val="both"/>
        <w:rPr>
          <w:rFonts w:ascii="仿宋" w:hAnsi="仿宋" w:eastAsia="仿宋"/>
        </w:rPr>
      </w:pPr>
    </w:p>
    <w:p>
      <w:pPr>
        <w:spacing w:line="294" w:lineRule="auto"/>
        <w:jc w:val="both"/>
        <w:rPr>
          <w:rFonts w:ascii="仿宋" w:hAnsi="仿宋" w:eastAsia="仿宋"/>
        </w:rPr>
      </w:pPr>
    </w:p>
    <w:p>
      <w:pPr>
        <w:spacing w:before="101" w:line="334" w:lineRule="auto"/>
        <w:ind w:right="44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202</w:t>
      </w:r>
      <w:r>
        <w:rPr>
          <w:rFonts w:ascii="仿宋" w:hAnsi="仿宋" w:eastAsia="仿宋" w:cs="仿宋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年本级财政预算已经区第十六届人民代表大会第</w:t>
      </w:r>
      <w:r>
        <w:rPr>
          <w:rFonts w:hint="eastAsia" w:ascii="仿宋" w:hAnsi="仿宋" w:eastAsia="仿宋" w:cs="仿宋"/>
          <w:spacing w:val="5"/>
          <w:sz w:val="31"/>
          <w:szCs w:val="31"/>
        </w:rPr>
        <w:t>二</w:t>
      </w:r>
      <w:r>
        <w:rPr>
          <w:rFonts w:ascii="仿宋" w:hAnsi="仿宋" w:eastAsia="仿宋" w:cs="仿宋"/>
          <w:spacing w:val="5"/>
          <w:sz w:val="31"/>
          <w:szCs w:val="31"/>
        </w:rPr>
        <w:t>次</w:t>
      </w:r>
      <w:r>
        <w:rPr>
          <w:rFonts w:ascii="仿宋" w:hAnsi="仿宋" w:eastAsia="仿宋" w:cs="仿宋"/>
          <w:spacing w:val="9"/>
          <w:sz w:val="31"/>
          <w:szCs w:val="31"/>
        </w:rPr>
        <w:t>会</w:t>
      </w:r>
      <w:r>
        <w:rPr>
          <w:rFonts w:ascii="仿宋" w:hAnsi="仿宋" w:eastAsia="仿宋" w:cs="仿宋"/>
          <w:spacing w:val="5"/>
          <w:sz w:val="31"/>
          <w:szCs w:val="31"/>
        </w:rPr>
        <w:t>议审议批准。根据《中华人民共和国预算法》规定，按照《区</w:t>
      </w:r>
      <w:r>
        <w:rPr>
          <w:rFonts w:ascii="仿宋" w:hAnsi="仿宋" w:eastAsia="仿宋" w:cs="仿宋"/>
          <w:spacing w:val="-16"/>
          <w:sz w:val="31"/>
          <w:szCs w:val="31"/>
        </w:rPr>
        <w:t>财政局关于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批复</w:t>
      </w:r>
      <w:r>
        <w:rPr>
          <w:rFonts w:ascii="仿宋" w:hAnsi="仿宋" w:eastAsia="仿宋" w:cs="仿宋"/>
          <w:spacing w:val="-16"/>
          <w:sz w:val="31"/>
          <w:szCs w:val="31"/>
        </w:rPr>
        <w:t>2023年国有资本经营预算的</w:t>
      </w:r>
      <w:r>
        <w:rPr>
          <w:rFonts w:hint="eastAsia" w:ascii="仿宋" w:hAnsi="仿宋" w:eastAsia="仿宋" w:cs="仿宋"/>
          <w:spacing w:val="-16"/>
          <w:sz w:val="31"/>
          <w:szCs w:val="31"/>
        </w:rPr>
        <w:t>通知</w:t>
      </w:r>
      <w:r>
        <w:rPr>
          <w:rFonts w:ascii="仿宋" w:hAnsi="仿宋" w:eastAsia="仿宋" w:cs="仿宋"/>
          <w:spacing w:val="-16"/>
          <w:sz w:val="31"/>
          <w:szCs w:val="31"/>
        </w:rPr>
        <w:t>》(江财预﹝2023</w:t>
      </w:r>
      <w:r>
        <w:rPr>
          <w:rFonts w:ascii="仿宋" w:hAnsi="仿宋" w:eastAsia="仿宋" w:cs="仿宋"/>
          <w:spacing w:val="-14"/>
          <w:sz w:val="31"/>
          <w:szCs w:val="31"/>
        </w:rPr>
        <w:t>﹞</w:t>
      </w:r>
      <w:r>
        <w:rPr>
          <w:rFonts w:ascii="仿宋" w:hAnsi="仿宋" w:eastAsia="仿宋" w:cs="仿宋"/>
          <w:spacing w:val="-1"/>
          <w:sz w:val="31"/>
          <w:szCs w:val="31"/>
        </w:rPr>
        <w:t>73号)，现将区国</w:t>
      </w:r>
      <w:r>
        <w:rPr>
          <w:rFonts w:ascii="仿宋" w:hAnsi="仿宋" w:eastAsia="仿宋" w:cs="仿宋"/>
          <w:sz w:val="31"/>
          <w:szCs w:val="31"/>
        </w:rPr>
        <w:t>资局出资企业2023年国有资本经营预算公开</w:t>
      </w:r>
      <w:r>
        <w:rPr>
          <w:rFonts w:ascii="仿宋" w:hAnsi="仿宋" w:eastAsia="仿宋" w:cs="仿宋"/>
          <w:spacing w:val="-1"/>
          <w:sz w:val="31"/>
          <w:szCs w:val="31"/>
        </w:rPr>
        <w:t>如</w:t>
      </w:r>
      <w:r>
        <w:rPr>
          <w:rFonts w:ascii="仿宋" w:hAnsi="仿宋" w:eastAsia="仿宋" w:cs="仿宋"/>
          <w:sz w:val="31"/>
          <w:szCs w:val="31"/>
        </w:rPr>
        <w:t>下：</w:t>
      </w:r>
    </w:p>
    <w:p>
      <w:pPr>
        <w:spacing w:before="5" w:line="333" w:lineRule="auto"/>
        <w:ind w:left="2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2023年国有资本经营预算收入及范围。区国资局所有</w:t>
      </w:r>
      <w:r>
        <w:rPr>
          <w:rFonts w:ascii="仿宋" w:hAnsi="仿宋" w:eastAsia="仿宋" w:cs="仿宋"/>
          <w:spacing w:val="-1"/>
          <w:sz w:val="31"/>
          <w:szCs w:val="31"/>
        </w:rPr>
        <w:t>出资企业均纳入2023</w:t>
      </w:r>
      <w:r>
        <w:rPr>
          <w:rFonts w:ascii="仿宋" w:hAnsi="仿宋" w:eastAsia="仿宋" w:cs="仿宋"/>
          <w:sz w:val="31"/>
          <w:szCs w:val="31"/>
        </w:rPr>
        <w:t>年国有资本经营预算范围。2023年区国资</w:t>
      </w:r>
      <w:r>
        <w:rPr>
          <w:rFonts w:ascii="仿宋" w:hAnsi="仿宋" w:eastAsia="仿宋" w:cs="仿宋"/>
          <w:spacing w:val="-6"/>
          <w:sz w:val="31"/>
          <w:szCs w:val="31"/>
        </w:rPr>
        <w:t>局出资企业预</w:t>
      </w:r>
      <w:r>
        <w:rPr>
          <w:rFonts w:ascii="仿宋" w:hAnsi="仿宋" w:eastAsia="仿宋" w:cs="仿宋"/>
          <w:spacing w:val="-3"/>
          <w:sz w:val="31"/>
          <w:szCs w:val="31"/>
        </w:rPr>
        <w:t>算收入为2449万元，其中，利润收入1500万元，</w:t>
      </w:r>
      <w:r>
        <w:rPr>
          <w:rFonts w:ascii="仿宋" w:hAnsi="仿宋" w:eastAsia="仿宋" w:cs="仿宋"/>
          <w:spacing w:val="1"/>
          <w:sz w:val="31"/>
          <w:szCs w:val="31"/>
        </w:rPr>
        <w:t>占国资预算收入总额的61.25%</w:t>
      </w:r>
      <w:r>
        <w:rPr>
          <w:rFonts w:ascii="仿宋" w:hAnsi="仿宋" w:eastAsia="仿宋" w:cs="仿宋"/>
          <w:sz w:val="31"/>
          <w:szCs w:val="31"/>
        </w:rPr>
        <w:t>；</w:t>
      </w:r>
      <w:r>
        <w:rPr>
          <w:rFonts w:ascii="仿宋" w:hAnsi="仿宋" w:eastAsia="仿宋" w:cs="仿宋"/>
          <w:spacing w:val="-5"/>
          <w:sz w:val="31"/>
          <w:szCs w:val="31"/>
        </w:rPr>
        <w:t>上年结转收入949</w:t>
      </w:r>
      <w:r>
        <w:rPr>
          <w:rFonts w:ascii="仿宋" w:hAnsi="仿宋" w:eastAsia="仿宋" w:cs="仿宋"/>
          <w:spacing w:val="-8"/>
          <w:sz w:val="31"/>
          <w:szCs w:val="31"/>
        </w:rPr>
        <w:t>万</w:t>
      </w:r>
      <w:r>
        <w:rPr>
          <w:rFonts w:ascii="仿宋" w:hAnsi="仿宋" w:eastAsia="仿宋" w:cs="仿宋"/>
          <w:spacing w:val="-4"/>
          <w:sz w:val="31"/>
          <w:szCs w:val="31"/>
        </w:rPr>
        <w:t>元，占国资预算收入总额的38.75%。</w:t>
      </w:r>
    </w:p>
    <w:p>
      <w:pPr>
        <w:spacing w:before="2" w:line="333" w:lineRule="auto"/>
        <w:ind w:left="3" w:right="43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二</w:t>
      </w:r>
      <w:r>
        <w:rPr>
          <w:rFonts w:ascii="仿宋" w:hAnsi="仿宋" w:eastAsia="仿宋" w:cs="仿宋"/>
          <w:spacing w:val="-6"/>
          <w:sz w:val="31"/>
          <w:szCs w:val="31"/>
        </w:rPr>
        <w:t>、2023年国有资本经营预算支出。区国资局出资企业2023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>国</w:t>
      </w:r>
      <w:r>
        <w:rPr>
          <w:rFonts w:ascii="仿宋" w:hAnsi="仿宋" w:eastAsia="仿宋" w:cs="仿宋"/>
          <w:spacing w:val="3"/>
          <w:sz w:val="31"/>
          <w:szCs w:val="31"/>
        </w:rPr>
        <w:t>有资本经营预算支出为</w:t>
      </w:r>
      <w:r>
        <w:rPr>
          <w:rFonts w:ascii="仿宋" w:hAnsi="仿宋" w:eastAsia="仿宋" w:cs="仿宋"/>
          <w:spacing w:val="-3"/>
          <w:sz w:val="31"/>
          <w:szCs w:val="31"/>
        </w:rPr>
        <w:t>2449</w:t>
      </w:r>
      <w:r>
        <w:rPr>
          <w:rFonts w:ascii="仿宋" w:hAnsi="仿宋" w:eastAsia="仿宋" w:cs="仿宋"/>
          <w:spacing w:val="3"/>
          <w:sz w:val="31"/>
          <w:szCs w:val="31"/>
        </w:rPr>
        <w:t>万元，其中，解决历史遗留问</w:t>
      </w:r>
      <w:r>
        <w:rPr>
          <w:rFonts w:ascii="仿宋" w:hAnsi="仿宋" w:eastAsia="仿宋" w:cs="仿宋"/>
          <w:spacing w:val="-1"/>
          <w:sz w:val="31"/>
          <w:szCs w:val="31"/>
        </w:rPr>
        <w:t>题及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改革</w:t>
      </w:r>
      <w:r>
        <w:rPr>
          <w:rFonts w:ascii="仿宋" w:hAnsi="仿宋" w:eastAsia="仿宋" w:cs="仿宋"/>
          <w:spacing w:val="-1"/>
          <w:sz w:val="31"/>
          <w:szCs w:val="31"/>
        </w:rPr>
        <w:t>成本支出964</w:t>
      </w:r>
      <w:r>
        <w:rPr>
          <w:rFonts w:ascii="仿宋" w:hAnsi="仿宋" w:eastAsia="仿宋" w:cs="仿宋"/>
          <w:sz w:val="31"/>
          <w:szCs w:val="31"/>
        </w:rPr>
        <w:t>万元，调出资金(调入一般公共预算)1485</w:t>
      </w:r>
      <w:r>
        <w:rPr>
          <w:rFonts w:ascii="仿宋" w:hAnsi="仿宋" w:eastAsia="仿宋" w:cs="仿宋"/>
          <w:spacing w:val="-2"/>
          <w:sz w:val="31"/>
          <w:szCs w:val="31"/>
        </w:rPr>
        <w:t>万元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1" w:line="227" w:lineRule="auto"/>
        <w:ind w:left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3"/>
          <w:sz w:val="31"/>
          <w:szCs w:val="31"/>
        </w:rPr>
        <w:t>此公开。</w:t>
      </w:r>
    </w:p>
    <w:p>
      <w:pPr>
        <w:spacing w:line="338" w:lineRule="auto"/>
        <w:jc w:val="both"/>
        <w:rPr>
          <w:rFonts w:ascii="仿宋" w:hAnsi="仿宋" w:eastAsia="仿宋"/>
        </w:rPr>
      </w:pPr>
    </w:p>
    <w:p>
      <w:pPr>
        <w:spacing w:line="338" w:lineRule="auto"/>
        <w:jc w:val="both"/>
        <w:rPr>
          <w:rFonts w:ascii="仿宋" w:hAnsi="仿宋" w:eastAsia="仿宋"/>
        </w:rPr>
      </w:pPr>
      <w:bookmarkStart w:id="0" w:name="_GoBack"/>
      <w:bookmarkEnd w:id="0"/>
    </w:p>
    <w:p>
      <w:pPr>
        <w:spacing w:before="101" w:line="624" w:lineRule="exact"/>
        <w:ind w:left="489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江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汉区国资局</w:t>
      </w:r>
    </w:p>
    <w:p>
      <w:pPr>
        <w:spacing w:before="1" w:line="227" w:lineRule="auto"/>
        <w:ind w:left="4558" w:firstLine="528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023年2月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pgSz w:w="11906" w:h="16839"/>
      <w:pgMar w:top="1431" w:right="1431" w:bottom="0" w:left="160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WQ1OTY5YTA3ZTVkODI3YjBhZDYyYjRlMGMxMGE1MDUifQ=="/>
  </w:docVars>
  <w:rsids>
    <w:rsidRoot w:val="00F472A2"/>
    <w:rsid w:val="000B4DD9"/>
    <w:rsid w:val="00147848"/>
    <w:rsid w:val="002D763C"/>
    <w:rsid w:val="004C34FC"/>
    <w:rsid w:val="005F1E9C"/>
    <w:rsid w:val="00725F26"/>
    <w:rsid w:val="008123D1"/>
    <w:rsid w:val="00873322"/>
    <w:rsid w:val="00D30AED"/>
    <w:rsid w:val="00F004A7"/>
    <w:rsid w:val="00F472A2"/>
    <w:rsid w:val="7E5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392</Characters>
  <Lines>3</Lines>
  <Paragraphs>1</Paragraphs>
  <TotalTime>23</TotalTime>
  <ScaleCrop>false</ScaleCrop>
  <LinksUpToDate>false</LinksUpToDate>
  <CharactersWithSpaces>422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2022-01-14T09:08:00Z</dcterms:created>
  <dc:creator>微软用户</dc:creator>
  <cp:lastModifiedBy>Administrator</cp:lastModifiedBy>
  <dcterms:modified xsi:type="dcterms:W3CDTF">2023-02-06T01:38:00Z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2023-02-03T10:32:21Z</vt:filetime>
  </property>
  <property fmtid="{D5CDD505-2E9C-101B-9397-08002B2CF9AE}" pid="4" name="KSOProductBuildVer">
    <vt:lpwstr>2052-11.1.0.12970</vt:lpwstr>
  </property>
  <property fmtid="{D5CDD505-2E9C-101B-9397-08002B2CF9AE}" pid="5" name="ICV">
    <vt:lpwstr>8E3EC7CC1F534249A13FB5AB825201D2</vt:lpwstr>
  </property>
</Properties>
</file>