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站点配建情况</w:t>
      </w:r>
    </w:p>
    <w:p>
      <w:pPr>
        <w:widowControl/>
        <w:snapToGrid w:val="0"/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（7</w:t>
      </w:r>
      <w:r>
        <w:rPr>
          <w:rFonts w:ascii="楷体_GB2312" w:hAnsi="楷体_GB2312" w:eastAsia="楷体_GB2312" w:cs="楷体_GB2312"/>
          <w:kern w:val="0"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分）</w:t>
      </w:r>
    </w:p>
    <w:tbl>
      <w:tblPr>
        <w:tblStyle w:val="6"/>
        <w:tblW w:w="9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63"/>
        <w:gridCol w:w="6010"/>
        <w:gridCol w:w="714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序号</w:t>
            </w:r>
          </w:p>
        </w:tc>
        <w:tc>
          <w:tcPr>
            <w:tcW w:w="146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考评内容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考评标准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满分分值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考核分数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人员配备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配备站长（由社区“两委”干部担任）、副站长各1名；示范站还应由街道选派1名业务指导员。未按要求配齐的，此项不得分。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配备6名（标准站3名）及以上常备应急人员。未按要求配齐的，此项不得分。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根据人数要求成立应急志愿者队伍，按照处置类型组建若干应急处置小组，并填报应急志愿者登记表。队伍人数未达标的，此项不得分。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将社区民兵纳入应急志愿队伍，发挥应急尖兵作用，按要求参加社区应急工作。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值班备勤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示范站：设置值班备勤室，配备办公桌椅、电脑、电话及床铺等；标准站：在便民服务大厅或其他位置设置值班值守台位，配备电脑、电话等。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示范站：2人一班，24小时在岗值班备勤；标准站：专人日常值班，24小时响应备勤。通过暗访或电话抽查发现无人在岗的，此项不得分。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物资配备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按照《社区应急服务站装备配备标准》配备装备器材。必备装备缺1项扣1分，扣完为止。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设有社区应急物资储备点，规范摆设各类物资装备。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列出装备清单，做好日常管理登记和维护。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紧急疏散区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充分利用公园、广场、学校、人防工程、体育馆等公共服务设施，设立社区紧急疏散区；明确疏散区域、可容纳人数等信息。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在相关居民楼栋张贴紧急疏散区路径示意图；疏散通道关键路口设置了指引牌。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应急车辆停放专区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在社区应急服务站周边便于出勤位置，设置“应急车辆停放专区”，并规范划线，禁止其他车辆占用或堵塞。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应急志愿者之家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为辖区应急志愿者提供活动场所，并积极组织相关活动。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6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联动中心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配备可实现与市区应急指挥系统、区消防大队指挥调度室等协同联动的指挥终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sz w:val="24"/>
              </w:rPr>
              <w:t>端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24"/>
              </w:rPr>
              <w:t>或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sz w:val="24"/>
              </w:rPr>
              <w:t>物联网远程监控平台，有条件的可配备液晶显示屏幕。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处置能力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现场设置处置科目，对常备应急人员应急处置能力开展实地考核。详见附件 1-1。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制度建设</w:t>
            </w:r>
          </w:p>
        </w:tc>
        <w:tc>
          <w:tcPr>
            <w:tcW w:w="601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建立健全社区应急服务站值班备勤、装备管理、隐患排查、培训演练等各项规章制度。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89" w:type="dxa"/>
            <w:gridSpan w:val="3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合计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71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widowControl/>
        <w:snapToGrid w:val="0"/>
        <w:spacing w:line="440" w:lineRule="exact"/>
        <w:jc w:val="left"/>
        <w:rPr>
          <w:rFonts w:asciiTheme="minorEastAsia" w:hAnsiTheme="minorEastAsia" w:cstheme="minorEastAsia"/>
          <w:kern w:val="0"/>
          <w:sz w:val="24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kern w:val="0"/>
          <w:sz w:val="24"/>
        </w:rPr>
        <w:t>注：标准站建设标准中因不涉及“应急车辆停放专区”“应急志愿者之家”“联动中心”等，相关项目按满分记。</w:t>
      </w:r>
    </w:p>
    <w:p>
      <w:pPr>
        <w:spacing w:line="560" w:lineRule="exact"/>
        <w:ind w:left="840" w:leftChars="400" w:firstLine="0" w:firstLineChars="0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附件1-1</w:t>
      </w:r>
    </w:p>
    <w:p>
      <w:pPr>
        <w:spacing w:before="192" w:line="204" w:lineRule="auto"/>
        <w:ind w:left="0" w:leftChars="0" w:firstLine="126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"/>
          <w:sz w:val="44"/>
          <w:szCs w:val="44"/>
        </w:rPr>
        <w:t>社区应急服务站处置能力考核登记表</w:t>
      </w:r>
    </w:p>
    <w:p>
      <w:pPr>
        <w:spacing w:before="174" w:line="204" w:lineRule="auto"/>
        <w:ind w:left="0" w:leftChars="0" w:firstLine="126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w w:val="89"/>
          <w:sz w:val="32"/>
          <w:szCs w:val="32"/>
        </w:rPr>
        <w:t>（8分）</w:t>
      </w:r>
    </w:p>
    <w:p>
      <w:pPr>
        <w:spacing w:line="34" w:lineRule="exact"/>
        <w:jc w:val="left"/>
      </w:pPr>
    </w:p>
    <w:tbl>
      <w:tblPr>
        <w:tblStyle w:val="9"/>
        <w:tblW w:w="14177" w:type="dxa"/>
        <w:tblInd w:w="12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008"/>
        <w:gridCol w:w="895"/>
        <w:gridCol w:w="1746"/>
        <w:gridCol w:w="1782"/>
        <w:gridCol w:w="2280"/>
        <w:gridCol w:w="1810"/>
        <w:gridCol w:w="1955"/>
        <w:gridCol w:w="988"/>
        <w:gridCol w:w="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1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接警出动情况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（满分4分）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消防技能检查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（满分4分）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得分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平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均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/>
        </w:tc>
        <w:tc>
          <w:tcPr>
            <w:tcW w:w="1008" w:type="dxa"/>
            <w:vMerge w:val="continue"/>
            <w:tcBorders>
              <w:top w:val="nil"/>
            </w:tcBorders>
          </w:tcPr>
          <w:p/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出动成绩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（评定标准参考科目1）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个人防护装备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佩戴情况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（评定标准参考科目2）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车辆油、水、电、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剂是否充足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（评定标准参考科目3）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灭火器操作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熟练程度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（评定标准参考科目4）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一人两盘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水带连接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（评定标准参考科目5）</w:t>
            </w:r>
          </w:p>
        </w:tc>
        <w:tc>
          <w:tcPr>
            <w:tcW w:w="988" w:type="dxa"/>
            <w:vMerge w:val="continue"/>
            <w:tcBorders>
              <w:top w:val="nil"/>
            </w:tcBorders>
          </w:tcPr>
          <w:p/>
        </w:tc>
        <w:tc>
          <w:tcPr>
            <w:tcW w:w="900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13" w:type="dxa"/>
          </w:tcPr>
          <w:p/>
        </w:tc>
        <w:tc>
          <w:tcPr>
            <w:tcW w:w="1008" w:type="dxa"/>
          </w:tcPr>
          <w:p/>
        </w:tc>
        <w:tc>
          <w:tcPr>
            <w:tcW w:w="895" w:type="dxa"/>
          </w:tcPr>
          <w:p/>
        </w:tc>
        <w:tc>
          <w:tcPr>
            <w:tcW w:w="1746" w:type="dxa"/>
          </w:tcPr>
          <w:p/>
        </w:tc>
        <w:tc>
          <w:tcPr>
            <w:tcW w:w="1782" w:type="dxa"/>
          </w:tcPr>
          <w:p/>
        </w:tc>
        <w:tc>
          <w:tcPr>
            <w:tcW w:w="2280" w:type="dxa"/>
          </w:tcPr>
          <w:p/>
        </w:tc>
        <w:tc>
          <w:tcPr>
            <w:tcW w:w="1810" w:type="dxa"/>
          </w:tcPr>
          <w:p/>
        </w:tc>
        <w:tc>
          <w:tcPr>
            <w:tcW w:w="1955" w:type="dxa"/>
          </w:tcPr>
          <w:p/>
        </w:tc>
        <w:tc>
          <w:tcPr>
            <w:tcW w:w="988" w:type="dxa"/>
          </w:tcPr>
          <w:p/>
        </w:tc>
        <w:tc>
          <w:tcPr>
            <w:tcW w:w="900" w:type="dxa"/>
            <w:tcBorders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813" w:type="dxa"/>
          </w:tcPr>
          <w:p/>
        </w:tc>
        <w:tc>
          <w:tcPr>
            <w:tcW w:w="1008" w:type="dxa"/>
          </w:tcPr>
          <w:p/>
        </w:tc>
        <w:tc>
          <w:tcPr>
            <w:tcW w:w="895" w:type="dxa"/>
          </w:tcPr>
          <w:p/>
        </w:tc>
        <w:tc>
          <w:tcPr>
            <w:tcW w:w="1746" w:type="dxa"/>
          </w:tcPr>
          <w:p/>
        </w:tc>
        <w:tc>
          <w:tcPr>
            <w:tcW w:w="1782" w:type="dxa"/>
          </w:tcPr>
          <w:p/>
        </w:tc>
        <w:tc>
          <w:tcPr>
            <w:tcW w:w="2280" w:type="dxa"/>
          </w:tcPr>
          <w:p/>
        </w:tc>
        <w:tc>
          <w:tcPr>
            <w:tcW w:w="1810" w:type="dxa"/>
          </w:tcPr>
          <w:p/>
        </w:tc>
        <w:tc>
          <w:tcPr>
            <w:tcW w:w="1955" w:type="dxa"/>
          </w:tcPr>
          <w:p/>
        </w:tc>
        <w:tc>
          <w:tcPr>
            <w:tcW w:w="988" w:type="dxa"/>
          </w:tcPr>
          <w:p/>
        </w:tc>
        <w:tc>
          <w:tcPr>
            <w:tcW w:w="900" w:type="dxa"/>
            <w:tcBorders>
              <w:top w:val="nil"/>
            </w:tcBorders>
          </w:tcPr>
          <w:p/>
        </w:tc>
      </w:tr>
    </w:tbl>
    <w:p>
      <w:pPr>
        <w:jc w:val="left"/>
        <w:rPr>
          <w:rFonts w:ascii="Arial" w:hAnsi="Arial" w:eastAsia="Arial" w:cs="Arial"/>
          <w:szCs w:val="21"/>
        </w:rPr>
      </w:pPr>
    </w:p>
    <w:p>
      <w:pPr>
        <w:jc w:val="left"/>
        <w:sectPr>
          <w:pgSz w:w="16783" w:h="11850" w:orient="landscape"/>
          <w:pgMar w:top="1327" w:right="1012" w:bottom="1327" w:left="0" w:header="0" w:footer="0" w:gutter="0"/>
          <w:cols w:space="720" w:num="1"/>
        </w:sectPr>
      </w:pPr>
    </w:p>
    <w:p>
      <w:pPr>
        <w:spacing w:before="165" w:line="520" w:lineRule="exact"/>
        <w:ind w:firstLine="61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科目</w:t>
      </w:r>
      <w:r>
        <w:rPr>
          <w:rFonts w:hint="eastAsia" w:ascii="黑体" w:hAnsi="黑体" w:eastAsia="黑体" w:cs="黑体"/>
          <w:spacing w:val="-14"/>
          <w:sz w:val="32"/>
          <w:szCs w:val="32"/>
        </w:rPr>
        <w:t>1：</w:t>
      </w:r>
    </w:p>
    <w:p>
      <w:pPr>
        <w:spacing w:before="192" w:line="52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考核科目：接警出动情况</w:t>
      </w:r>
    </w:p>
    <w:p>
      <w:pPr>
        <w:spacing w:before="189" w:line="520" w:lineRule="exact"/>
        <w:ind w:left="4" w:right="144" w:firstLine="64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1"/>
          <w:sz w:val="32"/>
          <w:szCs w:val="32"/>
        </w:rPr>
        <w:t>操作程序：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由辖区消防救援站（小型站）通过手持电台（或固定电话）对所属社区应急服务站下达出动命令，记录社区应急服务站从接到命令到准备就绪，启动消防车时间。</w:t>
      </w:r>
    </w:p>
    <w:p>
      <w:pPr>
        <w:spacing w:before="189" w:line="520" w:lineRule="exact"/>
        <w:ind w:firstLine="62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评分标准：</w:t>
      </w:r>
    </w:p>
    <w:p>
      <w:pPr>
        <w:tabs>
          <w:tab w:val="left" w:pos="312"/>
        </w:tabs>
        <w:spacing w:line="5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1、全过程用时不超过1分钟的，评为优秀档次，得2分；</w:t>
      </w:r>
    </w:p>
    <w:p>
      <w:pPr>
        <w:tabs>
          <w:tab w:val="left" w:pos="312"/>
        </w:tabs>
        <w:spacing w:line="5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2、拉动时间超过1分钟，但不超过1.5分钟的，评为良好档次，得1.6分；</w:t>
      </w:r>
    </w:p>
    <w:p>
      <w:pPr>
        <w:tabs>
          <w:tab w:val="left" w:pos="312"/>
        </w:tabs>
        <w:spacing w:line="5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3、拉动时间超过1.5分钟，但不超过2分钟的，评为合格档次，得1.2分；</w:t>
      </w:r>
    </w:p>
    <w:p>
      <w:pPr>
        <w:spacing w:line="520" w:lineRule="exact"/>
        <w:ind w:left="420" w:leftChars="200" w:firstLine="320" w:firstLineChars="100"/>
      </w:pPr>
      <w:r>
        <w:rPr>
          <w:rFonts w:hint="eastAsia" w:ascii="仿宋_GB2312" w:hAnsi="仿宋_GB2312" w:eastAsia="仿宋_GB2312" w:cs="仿宋_GB2312"/>
          <w:sz w:val="32"/>
          <w:szCs w:val="32"/>
        </w:rPr>
        <w:t>4、全过程用时超过2分钟的，不得分。</w:t>
      </w:r>
    </w:p>
    <w:p>
      <w:pPr>
        <w:spacing w:line="520" w:lineRule="exact"/>
        <w:ind w:firstLine="616" w:firstLineChars="200"/>
        <w:rPr>
          <w:rFonts w:ascii="黑体" w:hAnsi="黑体" w:eastAsia="黑体" w:cs="黑体"/>
          <w:spacing w:val="-6"/>
          <w:sz w:val="32"/>
          <w:szCs w:val="32"/>
        </w:rPr>
      </w:pPr>
    </w:p>
    <w:p>
      <w:pPr>
        <w:spacing w:line="520" w:lineRule="exact"/>
        <w:ind w:firstLine="616" w:firstLineChars="200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科目2：</w:t>
      </w:r>
    </w:p>
    <w:p>
      <w:pPr>
        <w:spacing w:line="52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基础个人防护装备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1、头盔；2、消防服；3、消防靴；4、腰带；5、照明灯；6、防烟面罩。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个人防护装备佩戴情况评定标准参考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1、基础个人防护装备穿戴齐全的，该项评为“优秀”档次，得1分；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2、未携带腰带，其他基础个人防护装备穿戴齐全的，该项评为“良好”档次，得0.8分；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3、未携带腰带和照明灯，其他基础个人防护装备穿戴齐全的，该项评为“合格”档次，得0.6分；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4、其他情况不得分。</w:t>
      </w:r>
    </w:p>
    <w:p>
      <w:pPr>
        <w:spacing w:before="192" w:line="520" w:lineRule="exact"/>
        <w:ind w:firstLine="616" w:firstLineChars="200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科目3：</w:t>
      </w:r>
    </w:p>
    <w:p>
      <w:pPr>
        <w:spacing w:before="189" w:line="520" w:lineRule="exact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车辆油、水、电、剂是否充足评定标准参考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1、电动车电量高于80%，机动泵油量高于80%，水箱载水量高于80%，车载灭火器压力均达标，该项评为“优秀”档次，得1分；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2、电动车电量、机动泵油量、水箱载水量中有一项低于80%，车载灭火器压力达标，该项评为“良好”档次，得0.8分；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3、电动车电量、机动泵油量、水箱载水量中有两项低于80%，车载灭火器压力达标，该项评为“合格”档次，得0.6分；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4、电动车电量、机动泵油量、水箱载水量均低于80%，车载灭火器压力部分或全部未达标，不计成绩。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1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科目4：</w:t>
      </w:r>
    </w:p>
    <w:p>
      <w:pPr>
        <w:spacing w:before="192" w:line="52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干粉灭火器适用范围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干粉灭火器适用于扑救石油、有机溶剂等易燃液体、可燃气体和电气设备的初期火灾，还可扑灭油、气等燃烧引起的失火。</w:t>
      </w:r>
    </w:p>
    <w:p>
      <w:pPr>
        <w:spacing w:before="74" w:line="520" w:lineRule="exact"/>
        <w:ind w:firstLine="59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灭火器(干粉)操作程序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1、提：提起灭火器，上下颠倒摇晃使干粉松动，取下喷枪，展开出粉管；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2、拔：拔掉保险销，打开灭火器阀门；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3、握：握住喷管最前端；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4、对：保持安全距离（距离火源约2-3米），对准火焰边缘根部；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5、喷：往下按压阀，对准火焰由近至远喷射。</w:t>
      </w:r>
    </w:p>
    <w:p>
      <w:pPr>
        <w:spacing w:before="189" w:line="52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干粉灭火器使用注意事项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手提式干粉灭火器使用时需注意，必须首先拔掉保险销，否则不会有干粉喷出。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手提式干粉灭火器喷射时间很短，使用前要把喷粉胶管对准火焰后，才可打开阀门。手提式干粉灭火器喷射距离也很短，使用时，操作人员在保证自身安全的情况下应尽量接近火源，并应根据燃烧范围选择合适规格的灭火器。如果燃烧范围大，灭火器规格小，就会前功尽弃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3、手提式干粉灭火器不需要颠倒过来使用，但如在使用前将筒体上下颠动几次，使干粉松动，喷射效果会更好。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4、干粉喷射没有集中的射流，喷出后容易散开，喷射时操作人员应站在火源的上风方向。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5、干粉灭火器不能从上面对着火焰喷射，而应对着火焰的根部平射，由近及远，向前平推，左右横扫，不让火焰窜回。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6、在扑救液体火灾时，因干粉灭火器具有较大的冲击力，不可将干粉直接冲击液面，以防把燃烧的液体溅出，扩大火势。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7、干粉灭火器在正常情况下，有效期可达3-5年，但中间每年应检查一次。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8、干粉灭火器要放在取用方便、通风、阴凉、干燥的地方，防止筒体受潮，干粉结块。干粉灭火器不可接触高温，不能放在阳光下曝晒，也不能放在温度低于-10摄氏度以下的地方。</w:t>
      </w:r>
    </w:p>
    <w:p>
      <w:pPr>
        <w:spacing w:before="189" w:line="520" w:lineRule="exact"/>
        <w:ind w:firstLine="6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考核科目：干粉灭火器灭油盆火操</w:t>
      </w:r>
    </w:p>
    <w:p>
      <w:pPr>
        <w:spacing w:before="191" w:line="520" w:lineRule="exact"/>
        <w:ind w:right="155"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长40米、宽2.5米的跑道上，标出起点线、起点线前1米、30米、31.5米、40米分别标出器材线、喷射线、油盆放置线、终点线。在器材线上放置两只手提式干粉灭火器及防护头盔2顶、手套2双，油盆放置线上放置油盆一个（如图1-1）。</w:t>
      </w:r>
    </w:p>
    <w:p>
      <w:pPr>
        <w:spacing w:before="131" w:line="600" w:lineRule="exact"/>
        <w:ind w:firstLine="1920" w:firstLineChars="600"/>
        <w:jc w:val="both"/>
        <w:textAlignment w:val="center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379730</wp:posOffset>
            </wp:positionH>
            <wp:positionV relativeFrom="page">
              <wp:posOffset>909320</wp:posOffset>
            </wp:positionV>
            <wp:extent cx="5273040" cy="1764665"/>
            <wp:effectExtent l="0" t="0" r="3810" b="6985"/>
            <wp:wrapTopAndBottom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6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图1-1干粉灭火器灭油盘火操场地设置</w:t>
      </w:r>
    </w:p>
    <w:p>
      <w:pPr>
        <w:spacing w:before="131" w:line="600" w:lineRule="exact"/>
        <w:ind w:left="0" w:leftChars="0" w:firstLine="0" w:firstLineChars="0"/>
        <w:jc w:val="center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（a-起点线；b-器材线；c-喷射线；d-油盆放置线；e-终点线）</w:t>
      </w:r>
    </w:p>
    <w:p>
      <w:pPr>
        <w:spacing w:line="600" w:lineRule="exact"/>
        <w:ind w:firstLine="61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操作程序：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1、参加考核人员在起点线一侧站好。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2、听到“出列”的口令，参加考核人员行进至起点线成立正姿势。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3、听到“准备器材”的口令，参加考核人员戴好头盔、手套做好器材准备。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4、听到“预备”的口令，两名参加考核人员向前一步至器材线做好操作准备。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听到“开始”的口令，两名参加考核人员携带灭火器向前，在跑动过程中拔出保险销，跑到喷射线时，右手握住压把，用力捏紧开启压把，左手紧握喷枪，在上风或侧上风对准火焰根部喷射，待火焰完全熄灭后，携灭火器冲出终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6、看到裁判员举旗示意后，方可收起器材，撤离比赛场地。</w:t>
      </w:r>
    </w:p>
    <w:p>
      <w:pPr>
        <w:spacing w:before="165" w:line="600" w:lineRule="exact"/>
        <w:ind w:firstLine="61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操作要求：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1、操作时灭火器不得触地，底部不得正对人体。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2、喷射时，参加考核人员应占据上风或侧上风位置，紧握喷枪，对准火焰根部喷射。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3、参赛时，参加考核人员应拉下头盔防护面罩，戴好防护手套。</w:t>
      </w:r>
    </w:p>
    <w:p>
      <w:pPr>
        <w:spacing w:before="189"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评定标准参考：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1、熟知干粉灭火器适用范围，并能熟练操作并灭火的，该项评为“优秀”档次，得2分；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2、对干粉灭火器适用范围不熟悉，能熟练操作并灭火的，该项评为“良好”档次，得1.6分；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3、对干粉灭火器适用范围不熟悉，操作过程不连贯有卡顿，能成功使用并灭火的，该项评为“及格”档次，得1.2分。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4、未能将火全部扑灭的，不计成绩。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16" w:firstLineChars="200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科目</w:t>
      </w:r>
      <w:r>
        <w:rPr>
          <w:rFonts w:hint="eastAsia" w:ascii="黑体" w:hAnsi="黑体" w:eastAsia="黑体" w:cs="黑体"/>
          <w:spacing w:val="-13"/>
          <w:sz w:val="32"/>
          <w:szCs w:val="32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4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position w:val="14"/>
          <w:sz w:val="32"/>
          <w:szCs w:val="32"/>
        </w:rPr>
        <w:t>考核科目：一人两盘水带连接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8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场地器材：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在长37米、宽2.5米的平地上，标出起点和终点，在起点线前1米、1.5米、8米处分辨标出器材线、分水器拖止线、水带甩开线，在器材线上放置19mm水枪一支、65mm水带两盘、分水器一只（如图1-2）。</w:t>
      </w:r>
    </w:p>
    <w:p>
      <w:pPr>
        <w:spacing w:before="90" w:line="600" w:lineRule="exact"/>
        <w:ind w:firstLine="640" w:firstLineChars="200"/>
        <w:jc w:val="center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599440</wp:posOffset>
            </wp:positionH>
            <wp:positionV relativeFrom="page">
              <wp:posOffset>7422515</wp:posOffset>
            </wp:positionV>
            <wp:extent cx="4749165" cy="1212850"/>
            <wp:effectExtent l="19050" t="0" r="0" b="0"/>
            <wp:wrapTopAndBottom/>
            <wp:docPr id="6" name="IM 6" descr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IM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16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图1-2一人两盘水带连接操场地设置</w:t>
      </w:r>
    </w:p>
    <w:p>
      <w:pPr>
        <w:spacing w:before="189" w:line="600" w:lineRule="exact"/>
        <w:ind w:firstLine="31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（a-起点线；b-器材线；c-分水器拖止线；d-水带甩开线；e-终点线）</w:t>
      </w:r>
    </w:p>
    <w:p>
      <w:pPr>
        <w:spacing w:before="192" w:line="600" w:lineRule="exact"/>
        <w:ind w:firstLine="62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操作程序：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1、参加考核人员在起点线一侧3米处成一列横队。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2、听到“出列”的口令，参加考核人员行进至起点线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3、听到“准备器材”的口令，参加考核人员检查器材、携带水枪，然后回原地站好。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4、听到“两盘水带连接——预备”的口令，参加考核人员做好操作准备。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听到“开始”的口令，参加考核人员迅速向前，手持水带，先甩开第一盘水带，一端接上分水器，另一端接上第二盘水带，然后行至甩开线甩开第二盘水带，连接上水枪接口，冲出终点线，成立射姿势喊“好”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6、听到“收带”的口令，参加考核人员收起器材，放回原处。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7、听到“入列”的口令，参加考核人员跑步入列。</w:t>
      </w:r>
    </w:p>
    <w:p>
      <w:pPr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评定标准参考：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计时从发出“开始”信号到全部完成操作完毕，冲出终点线喊“好”为止。全过程用时10秒的，评为优秀档次，得2分；全过程用时15秒的，评为良好档次，得1.6分；全过程用时20秒的，评为及格档次，得1.2分。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1、有下列情况之一者，不计取成绩：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（1）个人防护装备不齐全或擅自改动，不符合标准要求的。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（2）水带、分水器接口脱口、卡口的。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（3）冲出终点线个人装备穿戴不齐全的。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（4）终点、起点线处分水器拖出拖止线的。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（5）参训人冲出终点线后，未完成全部动作喊“好”的。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（6）事先将水带接口与接口、接口与分水器连接、呈半连接状态的或将水带接口放于地上的。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2、有下列情况之一者，作加时处理：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（1）第1盘水带未甩到（甩开先后不作要求）8米甩开线的，加1秒。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（2）参加考核人员跑出线外操作的，每人（次）加2秒。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9"/>
          <w:pgMar w:top="1429" w:right="1242" w:bottom="1191" w:left="1144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（3）一盘水带出2.5米线（边界）加1秒。</w:t>
      </w:r>
      <w:bookmarkStart w:id="0" w:name="_GoBack"/>
      <w:bookmarkEnd w:id="0"/>
    </w:p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7703"/>
      <w:jc w:val="left"/>
      <w:rPr>
        <w:rFonts w:ascii="Arial" w:hAnsi="Arial" w:eastAsia="Arial" w:cs="Arial"/>
        <w:sz w:val="27"/>
        <w:szCs w:val="2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F2046"/>
    <w:multiLevelType w:val="singleLevel"/>
    <w:tmpl w:val="611F2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5"/>
    <w:rsid w:val="005C2F6F"/>
    <w:rsid w:val="00A31A19"/>
    <w:rsid w:val="00C03085"/>
    <w:rsid w:val="076D1AB9"/>
    <w:rsid w:val="0B184431"/>
    <w:rsid w:val="0C3F35D1"/>
    <w:rsid w:val="15D8437B"/>
    <w:rsid w:val="2209126E"/>
    <w:rsid w:val="290D2A3C"/>
    <w:rsid w:val="2B0F3AD3"/>
    <w:rsid w:val="2E121948"/>
    <w:rsid w:val="34773689"/>
    <w:rsid w:val="35A37FC0"/>
    <w:rsid w:val="38693466"/>
    <w:rsid w:val="3A3B752A"/>
    <w:rsid w:val="3B71702D"/>
    <w:rsid w:val="419A6058"/>
    <w:rsid w:val="457E76DD"/>
    <w:rsid w:val="53C122EC"/>
    <w:rsid w:val="5FA26910"/>
    <w:rsid w:val="6CC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kern w:val="0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1216</Words>
  <Characters>6934</Characters>
  <Lines>57</Lines>
  <Paragraphs>16</Paragraphs>
  <TotalTime>63</TotalTime>
  <ScaleCrop>false</ScaleCrop>
  <LinksUpToDate>false</LinksUpToDate>
  <CharactersWithSpaces>8134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李霸天</cp:lastModifiedBy>
  <cp:lastPrinted>2021-08-20T03:23:00Z</cp:lastPrinted>
  <dcterms:modified xsi:type="dcterms:W3CDTF">2021-09-15T09:26:46Z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