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宋体" w:eastAsia="方正小标宋简体" w:cs="宋体"/>
          <w:b w:val="0"/>
          <w:bCs/>
          <w:sz w:val="44"/>
          <w:szCs w:val="44"/>
          <w:shd w:val="clear" w:color="auto" w:fill="FFFFFF"/>
          <w:lang w:val="en-US" w:eastAsia="zh-CN" w:bidi="ar-SA"/>
        </w:rPr>
      </w:pPr>
      <w:r>
        <w:rPr>
          <w:rFonts w:hint="eastAsia" w:ascii="方正小标宋简体" w:hAnsi="宋体" w:eastAsia="方正小标宋简体" w:cs="宋体"/>
          <w:b w:val="0"/>
          <w:bCs/>
          <w:sz w:val="44"/>
          <w:szCs w:val="44"/>
          <w:shd w:val="clear" w:color="auto" w:fill="FFFFFF"/>
          <w:lang w:val="en-US" w:eastAsia="zh-CN" w:bidi="ar-SA"/>
        </w:rPr>
        <w:t>武汉市江汉区统计局2022年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宋体" w:eastAsia="方正小标宋简体" w:cs="宋体"/>
          <w:b w:val="0"/>
          <w:bCs/>
          <w:sz w:val="44"/>
          <w:szCs w:val="44"/>
          <w:shd w:val="clear" w:color="auto" w:fill="FFFFFF"/>
          <w:lang w:val="en-US" w:eastAsia="zh-CN" w:bidi="ar-SA"/>
        </w:rPr>
      </w:pPr>
      <w:r>
        <w:rPr>
          <w:rFonts w:hint="eastAsia" w:ascii="方正小标宋简体" w:hAnsi="宋体" w:eastAsia="方正小标宋简体" w:cs="宋体"/>
          <w:b w:val="0"/>
          <w:bCs/>
          <w:sz w:val="44"/>
          <w:szCs w:val="44"/>
          <w:shd w:val="clear" w:color="auto" w:fill="FFFFFF"/>
          <w:lang w:val="en-US" w:eastAsia="zh-CN" w:bidi="ar-SA"/>
        </w:rPr>
        <w:t>政府信息公开工作年度报告</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江汉区</w:t>
      </w:r>
      <w:r>
        <w:rPr>
          <w:rFonts w:hint="eastAsia" w:ascii="仿宋" w:hAnsi="仿宋" w:eastAsia="仿宋" w:cs="仿宋"/>
          <w:sz w:val="32"/>
          <w:szCs w:val="32"/>
        </w:rPr>
        <w:t>统计局严格落实《20</w:t>
      </w:r>
      <w:r>
        <w:rPr>
          <w:rFonts w:hint="eastAsia" w:ascii="仿宋" w:hAnsi="仿宋" w:eastAsia="仿宋" w:cs="仿宋"/>
          <w:sz w:val="32"/>
          <w:szCs w:val="32"/>
          <w:lang w:val="en-US" w:eastAsia="zh-CN"/>
        </w:rPr>
        <w:t>22</w:t>
      </w:r>
      <w:r>
        <w:rPr>
          <w:rFonts w:hint="eastAsia" w:ascii="仿宋" w:hAnsi="仿宋" w:eastAsia="仿宋" w:cs="仿宋"/>
          <w:sz w:val="32"/>
          <w:szCs w:val="32"/>
        </w:rPr>
        <w:t>年江汉区政务公开工作要点》，认真做好各项政务公开工作。围绕主动公开、依申请公开、政府信息管理、平台建设、监督保障等</w:t>
      </w:r>
      <w:r>
        <w:rPr>
          <w:rFonts w:hint="eastAsia" w:ascii="仿宋" w:hAnsi="仿宋" w:eastAsia="仿宋" w:cs="仿宋"/>
          <w:sz w:val="32"/>
          <w:szCs w:val="32"/>
          <w:lang w:val="en-US" w:eastAsia="zh-CN"/>
        </w:rPr>
        <w:t>各</w:t>
      </w:r>
      <w:r>
        <w:rPr>
          <w:rFonts w:hint="eastAsia" w:ascii="仿宋" w:hAnsi="仿宋" w:eastAsia="仿宋" w:cs="仿宋"/>
          <w:sz w:val="32"/>
          <w:szCs w:val="32"/>
        </w:rPr>
        <w:t>方面要求，全力推进政府信息公开工作</w:t>
      </w:r>
      <w:r>
        <w:rPr>
          <w:rFonts w:hint="eastAsia" w:ascii="仿宋" w:hAnsi="仿宋" w:eastAsia="仿宋" w:cs="仿宋"/>
          <w:sz w:val="32"/>
          <w:szCs w:val="32"/>
          <w:lang w:eastAsia="zh-CN"/>
        </w:rPr>
        <w:t>，</w:t>
      </w:r>
      <w:r>
        <w:rPr>
          <w:rFonts w:hint="eastAsia" w:ascii="仿宋" w:hAnsi="仿宋" w:eastAsia="仿宋" w:cs="仿宋"/>
          <w:sz w:val="32"/>
          <w:szCs w:val="32"/>
        </w:rPr>
        <w:t>重点做好“政务公开重点工作”栏目建设，公开经济运行情况。</w:t>
      </w:r>
      <w:r>
        <w:rPr>
          <w:rFonts w:hint="eastAsia" w:ascii="仿宋" w:hAnsi="仿宋" w:eastAsia="仿宋" w:cs="仿宋"/>
          <w:sz w:val="32"/>
          <w:szCs w:val="32"/>
          <w:lang w:val="en-US" w:eastAsia="zh-CN"/>
        </w:rPr>
        <w:t>现将总体完成情况汇报如下：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（一）主动公开情况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局认真做好住房和城乡部门基础政务公开和重点栏目公开等工作，通过政府网站公开信息8条，其中文件通知2条、普查制度1条、普查宣传1条、统计调查员1条、资料下载1条、统计法规1条、统计失信公示1条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（二）依申请公开情况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2022年度全年江汉区统计局共受理依申请公开4件，无行政复议、行政诉讼。</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政府信息管理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健全政府信息主动公开制度、政府信息依申请公开制度、政府信息动态调整机制等；对主动公开的公开形式及依申请公开的申请注意事项等作了明确补充。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（四）政府信息公开平台建设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把政务公开工作纳入重要议事日程，着力健全政务公开组织体系。确保领导、机构、人员“三到位”。严格落实信息发布责任人制度，加强信息发布审核、日常监管，杜绝出现文字严重表述错误、内容更新不及时等问题，确保网站内容保障和日常信息维护工作及时到位。全力保障公开及时有效规范，进一步提升人民群众对统计工作的知情度、关注度、认可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组织领导。我局高度重视政府信息公开工作，明确了由局办公室牵头负责全局政府信息公开工作，组织协调、督促落实、检查核查全局政府信息公开工作开展情况，确定专人负责具体落实，做到思想统一，职责分清，形成领导重视、组织高效、分工协作的良好工作机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提高公开水平。及时准确公布相关政府信息，定期更新工作动态和便民信息，公开我局的机构职责、机构设置和领导成员信息，建立健全统计领域信息公开机制，畅通信息公开渠道，坚持重要事项、重点工作公示原则、接受社会各界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三是坚持信息审核机制，所有公开的信息需经领导审核后方可发布，以确保有关信息的准确。2022年我局未发生政务公开责任追究情况。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45"/>
        <w:gridCol w:w="2245"/>
        <w:gridCol w:w="2245"/>
        <w:gridCol w:w="22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wordWrap w:val="0"/>
              <w:jc w:val="center"/>
            </w:pPr>
            <w:r>
              <w:rPr>
                <w:rStyle w:val="5"/>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信息内容</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本年制发件数</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本年废止件数</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规章</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行政规范性文件</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eastAsia="zh-CN"/>
              </w:rPr>
            </w:pPr>
            <w:r>
              <w:rPr>
                <w:rFonts w:hint="eastAsia" w:ascii="宋体"/>
                <w:sz w:val="24"/>
                <w:szCs w:val="24"/>
                <w:lang w:val="en-US" w:eastAsia="zh-CN"/>
              </w:rPr>
              <w:t>0</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eastAsia="zh-CN"/>
              </w:rPr>
            </w:pPr>
            <w:r>
              <w:rPr>
                <w:rFonts w:hint="eastAsia" w:ascii="宋体"/>
                <w:sz w:val="24"/>
                <w:szCs w:val="24"/>
                <w:lang w:val="en-US" w:eastAsia="zh-CN"/>
              </w:rPr>
              <w:t>0</w:t>
            </w:r>
          </w:p>
        </w:tc>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eastAsia="zh-CN"/>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wordWrap w:val="0"/>
              <w:jc w:val="center"/>
            </w:pPr>
            <w:r>
              <w:rPr>
                <w:rStyle w:val="5"/>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信息内容</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行政许可</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eastAsiaTheme="minorEastAsia"/>
                <w:lang w:val="en-US" w:eastAsia="zh-CN"/>
              </w:rP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wordWrap w:val="0"/>
              <w:jc w:val="center"/>
            </w:pPr>
            <w:r>
              <w:rPr>
                <w:rStyle w:val="5"/>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信息内容</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行政处罚</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eastAsiaTheme="minorEastAsia"/>
                <w:lang w:eastAsia="zh-CN"/>
              </w:rP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行政强制</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eastAsiaTheme="minorEastAsia"/>
                <w:lang w:val="en-US" w:eastAsia="zh-CN"/>
              </w:rPr>
            </w:pPr>
            <w:r>
              <w:rPr>
                <w:rFonts w:hint="eastAsia"/>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wordWrap w:val="0"/>
              <w:jc w:val="center"/>
            </w:pPr>
            <w:r>
              <w:rPr>
                <w:rStyle w:val="5"/>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信息内容</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行政事业性收费</w:t>
            </w:r>
          </w:p>
        </w:tc>
        <w:tc>
          <w:tcPr>
            <w:tcW w:w="73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eastAsiaTheme="minorEastAsia"/>
                <w:lang w:val="en-US" w:eastAsia="zh-CN"/>
              </w:rPr>
            </w:pPr>
            <w:r>
              <w:rPr>
                <w:rFonts w:hint="eastAsia"/>
                <w:lang w:val="en-US" w:eastAsia="zh-CN"/>
              </w:rPr>
              <w:t>0</w:t>
            </w:r>
          </w:p>
        </w:tc>
      </w:tr>
    </w:tbl>
    <w:p>
      <w:pPr>
        <w:pStyle w:val="2"/>
        <w:keepNext w:val="0"/>
        <w:keepLines w:val="0"/>
        <w:widowControl/>
        <w:suppressLineNumbers w:val="0"/>
        <w:ind w:left="0" w:firstLine="420"/>
        <w:jc w:val="both"/>
      </w:pPr>
      <w:r>
        <w:rPr>
          <w:rStyle w:val="5"/>
        </w:rPr>
        <w:t>三、收到和处理政府信息公开申请情况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5"/>
        <w:gridCol w:w="927"/>
        <w:gridCol w:w="2797"/>
        <w:gridCol w:w="635"/>
        <w:gridCol w:w="635"/>
        <w:gridCol w:w="635"/>
        <w:gridCol w:w="635"/>
        <w:gridCol w:w="635"/>
        <w:gridCol w:w="670"/>
        <w:gridCol w:w="6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9"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（本列数据的勾稽关系为：第一项加第二项之和，等于第三项加第四项之和）</w:t>
            </w:r>
          </w:p>
        </w:tc>
        <w:tc>
          <w:tcPr>
            <w:tcW w:w="4526"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9"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自然人</w:t>
            </w:r>
          </w:p>
        </w:tc>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法人或其他组织</w:t>
            </w:r>
          </w:p>
        </w:tc>
        <w:tc>
          <w:tcPr>
            <w:tcW w:w="68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9"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商业</w:t>
            </w:r>
          </w:p>
          <w:p>
            <w:pPr>
              <w:pStyle w:val="2"/>
              <w:keepNext w:val="0"/>
              <w:keepLines w:val="0"/>
              <w:widowControl/>
              <w:suppressLineNumbers w:val="0"/>
              <w:jc w:val="center"/>
            </w:pPr>
            <w:r>
              <w:t>企业</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科研</w:t>
            </w:r>
          </w:p>
          <w:p>
            <w:pPr>
              <w:pStyle w:val="2"/>
              <w:keepNext w:val="0"/>
              <w:keepLines w:val="0"/>
              <w:widowControl/>
              <w:suppressLineNumbers w:val="0"/>
              <w:jc w:val="center"/>
            </w:pPr>
            <w:r>
              <w:t>机构</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社会公益组织</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法律服务机构</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其他</w:t>
            </w:r>
          </w:p>
        </w:tc>
        <w:tc>
          <w:tcPr>
            <w:tcW w:w="681"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一、本年新收政府信息公开申请数量</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4</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color w:val="auto"/>
                <w:sz w:val="24"/>
                <w:szCs w:val="24"/>
              </w:rPr>
            </w:pPr>
            <w:r>
              <w:rPr>
                <w:rFonts w:hint="eastAsia" w:ascii="宋体"/>
                <w:color w:val="auto"/>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color w:val="auto"/>
                <w:sz w:val="24"/>
                <w:szCs w:val="24"/>
              </w:rPr>
            </w:pPr>
            <w:r>
              <w:rPr>
                <w:rFonts w:hint="eastAsia" w:ascii="宋体"/>
                <w:color w:val="auto"/>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color w:val="auto"/>
                <w:sz w:val="24"/>
                <w:szCs w:val="24"/>
              </w:rPr>
            </w:pPr>
            <w:r>
              <w:rPr>
                <w:rFonts w:hint="eastAsia" w:ascii="宋体"/>
                <w:color w:val="auto"/>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color w:val="auto"/>
                <w:sz w:val="24"/>
                <w:szCs w:val="24"/>
              </w:rPr>
            </w:pPr>
            <w:r>
              <w:rPr>
                <w:rFonts w:hint="eastAsia" w:ascii="宋体"/>
                <w:color w:val="auto"/>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default" w:ascii="宋体" w:eastAsiaTheme="minorEastAsia"/>
                <w:color w:val="auto"/>
                <w:sz w:val="24"/>
                <w:szCs w:val="24"/>
                <w:lang w:val="en-US" w:eastAsia="zh-CN"/>
              </w:rPr>
            </w:pPr>
            <w:r>
              <w:rPr>
                <w:rFonts w:hint="eastAsia" w:ascii="宋体"/>
                <w:color w:val="auto"/>
                <w:sz w:val="24"/>
                <w:szCs w:val="24"/>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二、上年结转政府信息公开申请数量</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eastAsiaTheme="minorEastAsia"/>
                <w:sz w:val="24"/>
                <w:szCs w:val="24"/>
                <w:lang w:eastAsia="zh-CN"/>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三、本年度办理结果</w:t>
            </w:r>
          </w:p>
        </w:tc>
        <w:tc>
          <w:tcPr>
            <w:tcW w:w="372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（一）予以公开</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372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（二）部分公开（区分处理的，只计这一情形，不计其他情形）</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（三）不予公开</w:t>
            </w: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1.属于国家秘密</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2.其他法律行政法规禁止公开</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3.危及“三安全一稳定”</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4.保护第三方合法权益</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5.属于三类内部事务信息</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6.属于四类过程性信息</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7.属于行政执法案卷</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8.属于行政查询事项</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eastAsiaTheme="minorEastAsia"/>
                <w:sz w:val="24"/>
                <w:szCs w:val="24"/>
                <w:lang w:val="en-US" w:eastAsia="zh-CN"/>
              </w:rPr>
            </w:pPr>
            <w:r>
              <w:rPr>
                <w:rFonts w:hint="eastAsia" w:ascii="宋体"/>
                <w:sz w:val="24"/>
                <w:szCs w:val="24"/>
                <w:lang w:val="en-US" w:eastAsia="zh-CN"/>
              </w:rPr>
              <w:t>5</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eastAsiaTheme="minorEastAsia"/>
                <w:sz w:val="24"/>
                <w:szCs w:val="24"/>
                <w:lang w:val="en-US" w:eastAsia="zh-CN"/>
              </w:rPr>
            </w:pPr>
            <w:r>
              <w:rPr>
                <w:rFonts w:hint="eastAsia" w:ascii="宋体"/>
                <w:sz w:val="24"/>
                <w:szCs w:val="24"/>
                <w:lang w:val="en-US" w:eastAsia="zh-CN"/>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（四）无法提供</w:t>
            </w: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1.本机关不掌握相关政府信息</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2.没有现成信息需要另行制作</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3.补正后申请内容仍不明确</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（五）不予处理</w:t>
            </w: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1.信访举报投诉类申请</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2.重复申请</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3.要求提供公开出版物</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4.无正当理由大量反复申请</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5.要求行政机关确认或重新出具已获取信息</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（六）其他处理</w:t>
            </w: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1.申请人无正当理由逾期不补正、行政机关不再处理其政府信息公开申请</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2.申请人逾期未按收费通知要求缴纳费用、行政机关不再处理其政府信息公开申请</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bookmarkStart w:id="0" w:name="_GoBack"/>
            <w:bookmarkEnd w:id="0"/>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lang w:val="en-US" w:eastAsia="zh-CN"/>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lang w:val="en-US" w:eastAsia="zh-CN"/>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927"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279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3.其他</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kern w:val="0"/>
                <w:sz w:val="24"/>
                <w:szCs w:val="24"/>
                <w:lang w:val="en-US" w:eastAsia="zh-CN" w:bidi="ar"/>
              </w:rPr>
            </w:pPr>
            <w:r>
              <w:rPr>
                <w:rFonts w:hint="eastAsia" w:ascii="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3724"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（七）总计</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color w:val="auto"/>
                <w:sz w:val="24"/>
                <w:szCs w:val="24"/>
                <w:lang w:val="en-US" w:eastAsia="zh-CN"/>
              </w:rPr>
            </w:pPr>
            <w:r>
              <w:rPr>
                <w:rFonts w:hint="eastAsia" w:ascii="宋体"/>
                <w:color w:val="auto"/>
                <w:sz w:val="24"/>
                <w:szCs w:val="24"/>
                <w:lang w:val="en-US" w:eastAsia="zh-CN"/>
              </w:rPr>
              <w:t>4</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color w:val="auto"/>
                <w:kern w:val="0"/>
                <w:sz w:val="24"/>
                <w:szCs w:val="24"/>
                <w:lang w:val="en-US" w:eastAsia="zh-CN" w:bidi="ar"/>
              </w:rPr>
            </w:pPr>
            <w:r>
              <w:rPr>
                <w:rFonts w:hint="eastAsia" w:ascii="宋体"/>
                <w:color w:val="auto"/>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color w:val="auto"/>
                <w:kern w:val="0"/>
                <w:sz w:val="24"/>
                <w:szCs w:val="24"/>
                <w:lang w:val="en-US" w:eastAsia="zh-CN" w:bidi="ar"/>
              </w:rPr>
            </w:pPr>
            <w:r>
              <w:rPr>
                <w:rFonts w:hint="eastAsia" w:ascii="宋体"/>
                <w:color w:val="auto"/>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color w:val="auto"/>
                <w:kern w:val="0"/>
                <w:sz w:val="24"/>
                <w:szCs w:val="24"/>
                <w:lang w:val="en-US" w:eastAsia="zh-CN" w:bidi="ar"/>
              </w:rPr>
            </w:pPr>
            <w:r>
              <w:rPr>
                <w:rFonts w:hint="eastAsia" w:ascii="宋体"/>
                <w:color w:val="auto"/>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color w:val="auto"/>
                <w:kern w:val="0"/>
                <w:sz w:val="24"/>
                <w:szCs w:val="24"/>
                <w:lang w:val="en-US" w:eastAsia="zh-CN" w:bidi="ar"/>
              </w:rPr>
            </w:pPr>
            <w:r>
              <w:rPr>
                <w:rFonts w:hint="eastAsia" w:ascii="宋体"/>
                <w:color w:val="auto"/>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hAnsiTheme="minorEastAsia" w:eastAsiaTheme="minorEastAsia" w:cstheme="minorEastAsia"/>
                <w:color w:val="auto"/>
                <w:kern w:val="0"/>
                <w:sz w:val="24"/>
                <w:szCs w:val="24"/>
                <w:lang w:val="en-US" w:eastAsia="zh-CN" w:bidi="ar"/>
              </w:rPr>
            </w:pPr>
            <w:r>
              <w:rPr>
                <w:rFonts w:hint="eastAsia" w:ascii="宋体"/>
                <w:color w:val="auto"/>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jc w:val="center"/>
              <w:rPr>
                <w:rFonts w:hint="default" w:ascii="宋体" w:eastAsiaTheme="minorEastAsia"/>
                <w:color w:val="auto"/>
                <w:sz w:val="24"/>
                <w:szCs w:val="24"/>
                <w:lang w:val="en-US" w:eastAsia="zh-CN"/>
              </w:rPr>
            </w:pPr>
            <w:r>
              <w:rPr>
                <w:rFonts w:hint="eastAsia" w:ascii="宋体"/>
                <w:color w:val="auto"/>
                <w:sz w:val="24"/>
                <w:szCs w:val="24"/>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9"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四、结转下年度继续办理</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r>
              <w:rPr>
                <w:rFonts w:hint="eastAsia" w:ascii="宋体"/>
                <w:sz w:val="24"/>
                <w:szCs w:val="24"/>
                <w:lang w:val="en-US" w:eastAsia="zh-CN"/>
              </w:rPr>
              <w:t>0</w:t>
            </w:r>
          </w:p>
        </w:tc>
        <w:tc>
          <w:tcPr>
            <w:tcW w:w="6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r>
              <w:rPr>
                <w:rFonts w:hint="eastAsia" w:ascii="宋体"/>
                <w:sz w:val="24"/>
                <w:szCs w:val="24"/>
                <w:lang w:val="en-US" w:eastAsia="zh-CN"/>
              </w:rPr>
              <w:t>0</w:t>
            </w:r>
          </w:p>
        </w:tc>
        <w:tc>
          <w:tcPr>
            <w:tcW w:w="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r>
              <w:rPr>
                <w:rFonts w:hint="eastAsia" w:ascii="宋体"/>
                <w:sz w:val="24"/>
                <w:szCs w:val="24"/>
                <w:lang w:val="en-US" w:eastAsia="zh-CN"/>
              </w:rPr>
              <w:t>0</w:t>
            </w:r>
          </w:p>
        </w:tc>
        <w:tc>
          <w:tcPr>
            <w:tcW w:w="68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eastAsia="zh-CN"/>
              </w:rPr>
            </w:pPr>
            <w:r>
              <w:rPr>
                <w:rFonts w:hint="eastAsia" w:ascii="宋体"/>
                <w:sz w:val="24"/>
                <w:szCs w:val="24"/>
                <w:lang w:val="en-US" w:eastAsia="zh-CN"/>
              </w:rPr>
              <w:t>0</w:t>
            </w:r>
          </w:p>
        </w:tc>
      </w:tr>
    </w:tbl>
    <w:p>
      <w:pPr>
        <w:pStyle w:val="2"/>
        <w:keepNext w:val="0"/>
        <w:keepLines w:val="0"/>
        <w:widowControl/>
        <w:suppressLineNumbers w:val="0"/>
        <w:ind w:left="0" w:firstLine="420"/>
        <w:jc w:val="both"/>
      </w:pPr>
      <w:r>
        <w:rPr>
          <w:rStyle w:val="5"/>
        </w:rPr>
        <w:t>四、政府信息公开行政复议、行政诉讼情况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589"/>
        <w:gridCol w:w="589"/>
        <w:gridCol w:w="589"/>
        <w:gridCol w:w="639"/>
        <w:gridCol w:w="590"/>
        <w:gridCol w:w="590"/>
        <w:gridCol w:w="590"/>
        <w:gridCol w:w="590"/>
        <w:gridCol w:w="640"/>
        <w:gridCol w:w="590"/>
        <w:gridCol w:w="590"/>
        <w:gridCol w:w="590"/>
        <w:gridCol w:w="590"/>
        <w:gridCol w:w="6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行政复议</w:t>
            </w:r>
          </w:p>
        </w:tc>
        <w:tc>
          <w:tcPr>
            <w:tcW w:w="6420"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结果维持</w:t>
            </w:r>
          </w:p>
        </w:tc>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结果</w:t>
            </w:r>
            <w:r>
              <w:br w:type="textWrapping"/>
            </w:r>
            <w:r>
              <w:t>纠正</w:t>
            </w:r>
          </w:p>
        </w:tc>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其他</w:t>
            </w:r>
            <w:r>
              <w:br w:type="textWrapping"/>
            </w:r>
            <w:r>
              <w:t>结果</w:t>
            </w:r>
          </w:p>
        </w:tc>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尚未</w:t>
            </w:r>
            <w:r>
              <w:br w:type="textWrapping"/>
            </w:r>
            <w:r>
              <w:t>审结</w:t>
            </w:r>
          </w:p>
        </w:tc>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总计</w:t>
            </w:r>
          </w:p>
        </w:tc>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未经复议直接起诉</w:t>
            </w:r>
          </w:p>
        </w:tc>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sz w:val="24"/>
                <w:szCs w:val="24"/>
              </w:rPr>
            </w:pP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结果</w:t>
            </w:r>
            <w:r>
              <w:br w:type="textWrapping"/>
            </w:r>
            <w:r>
              <w:t>维持</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结果</w:t>
            </w:r>
            <w:r>
              <w:br w:type="textWrapping"/>
            </w:r>
            <w:r>
              <w:t>纠正</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其他</w:t>
            </w:r>
            <w:r>
              <w:br w:type="textWrapping"/>
            </w:r>
            <w:r>
              <w:t>结果</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尚未</w:t>
            </w:r>
            <w:r>
              <w:br w:type="textWrapping"/>
            </w:r>
            <w:r>
              <w:t>审结</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总计</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结果</w:t>
            </w:r>
            <w:r>
              <w:br w:type="textWrapping"/>
            </w:r>
            <w:r>
              <w:t>维持</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结果</w:t>
            </w:r>
            <w:r>
              <w:br w:type="textWrapping"/>
            </w:r>
            <w:r>
              <w:t>纠正</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其他</w:t>
            </w:r>
            <w:r>
              <w:br w:type="textWrapping"/>
            </w:r>
            <w:r>
              <w:t>结果</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尚未</w:t>
            </w:r>
            <w:r>
              <w:br w:type="textWrapping"/>
            </w:r>
            <w:r>
              <w:t>审结</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jc w:val="center"/>
            </w:pPr>
            <w: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局政府信息公开工作有序推进，通过政府信息公开，保障了公民对统计工作的知情权、参与权、表达权、监督权，促进了依法行政，发挥了政府信息的服务作用。但在工作中也存在一些薄弱环节，一是对政府信息公开工作重要性有待提高，推动政务公开和政府信息公开的力度还需加强；二是信息公开的内容不够充实完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局将继续按照国家和省、市、区的有关要求，继续大力推进政府信息公开工作，主要是做好以下三个方面工作：一是进一步夯实责任，加强网站日常监管和维护，强化互动交流，发挥好网站的便民服务作用。落实审核责任，把好政务信息公开的质量关；二是规范和完善政务公开内容、形式。对涉及人民群众关心的重大问题、重大决策应及时公开，同时有区别地抓好对内与对外公开，提高公开针对性；三是加强组织业务培训。强化业务人员的培训，进一步提高统计系统政务公开工作的主动性和积极性，不断提高信息工作人员的能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无。</w:t>
      </w:r>
    </w:p>
    <w:sectPr>
      <w:pgSz w:w="11906" w:h="16839"/>
      <w:pgMar w:top="2098" w:right="1474" w:bottom="1984" w:left="1587"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9CEB1"/>
    <w:multiLevelType w:val="singleLevel"/>
    <w:tmpl w:val="E3F9CEB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jgzZGEwY2NkZjIzZDA2ZWE3NTZiMTgyYzUyM2UifQ=="/>
  </w:docVars>
  <w:rsids>
    <w:rsidRoot w:val="312E05BB"/>
    <w:rsid w:val="0A51342A"/>
    <w:rsid w:val="10C37D98"/>
    <w:rsid w:val="1D373150"/>
    <w:rsid w:val="1E727159"/>
    <w:rsid w:val="23144B9D"/>
    <w:rsid w:val="2AC055D5"/>
    <w:rsid w:val="312E05BB"/>
    <w:rsid w:val="319C0B7F"/>
    <w:rsid w:val="35664F51"/>
    <w:rsid w:val="35667520"/>
    <w:rsid w:val="360F3680"/>
    <w:rsid w:val="36702B3A"/>
    <w:rsid w:val="3BD3519D"/>
    <w:rsid w:val="42CE3D1B"/>
    <w:rsid w:val="440C11EA"/>
    <w:rsid w:val="4CAB1D8A"/>
    <w:rsid w:val="50354221"/>
    <w:rsid w:val="53175787"/>
    <w:rsid w:val="56170651"/>
    <w:rsid w:val="59A027F5"/>
    <w:rsid w:val="5FEF619A"/>
    <w:rsid w:val="67993362"/>
    <w:rsid w:val="67BE55EA"/>
    <w:rsid w:val="6AA24F24"/>
    <w:rsid w:val="6BB64010"/>
    <w:rsid w:val="70934920"/>
    <w:rsid w:val="7282000E"/>
    <w:rsid w:val="774F5BDF"/>
    <w:rsid w:val="7B48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2149</Words>
  <Characters>2186</Characters>
  <Lines>0</Lines>
  <Paragraphs>0</Paragraphs>
  <TotalTime>5</TotalTime>
  <ScaleCrop>false</ScaleCrop>
  <LinksUpToDate>false</LinksUpToDate>
  <CharactersWithSpaces>2186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2021-12-16T09:19:00Z</dcterms:created>
  <dc:creator>Administrator</dc:creator>
  <cp:lastModifiedBy>奶油泡面碗</cp:lastModifiedBy>
  <dcterms:modified xsi:type="dcterms:W3CDTF">2023-01-13T01:23:14Z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95A37ADA424A43B6A1C06DE2756A4E8B</vt:lpwstr>
  </property>
</Properties>
</file>