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CESI仿宋-GB2312" w:hAnsi="CESI仿宋-GB2312" w:eastAsia="CESI仿宋-GB2312" w:cs="CESI仿宋-GB2312"/>
          <w:sz w:val="40"/>
          <w:szCs w:val="40"/>
        </w:rPr>
      </w:pPr>
      <w:r>
        <w:rPr>
          <w:rFonts w:hint="eastAsia" w:ascii="CESI小标宋-GB2312" w:hAnsi="CESI小标宋-GB2312" w:eastAsia="CESI小标宋-GB2312" w:cs="CESI小标宋-GB2312"/>
          <w:sz w:val="40"/>
          <w:szCs w:val="40"/>
          <w:lang w:eastAsia="zh-CN"/>
        </w:rPr>
        <w:t>北湖街道</w:t>
      </w:r>
      <w:r>
        <w:rPr>
          <w:rFonts w:hint="eastAsia" w:ascii="CESI小标宋-GB2312" w:hAnsi="CESI小标宋-GB2312" w:eastAsia="CESI小标宋-GB2312" w:cs="CESI小标宋-GB2312"/>
          <w:sz w:val="40"/>
          <w:szCs w:val="40"/>
          <w:lang w:val="en-US" w:eastAsia="zh-CN"/>
        </w:rPr>
        <w:t>2023</w:t>
      </w:r>
      <w:r>
        <w:rPr>
          <w:rFonts w:hint="eastAsia" w:ascii="CESI小标宋-GB2312" w:hAnsi="CESI小标宋-GB2312" w:eastAsia="CESI小标宋-GB2312" w:cs="CESI小标宋-GB2312"/>
          <w:sz w:val="40"/>
          <w:szCs w:val="40"/>
        </w:rPr>
        <w:t>年度行政执法统计年报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一、行政执法主体概况</w:t>
      </w:r>
    </w:p>
    <w:tbl>
      <w:tblPr>
        <w:tblStyle w:val="6"/>
        <w:tblW w:w="8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9"/>
        <w:gridCol w:w="2012"/>
        <w:gridCol w:w="1399"/>
        <w:gridCol w:w="1247"/>
        <w:gridCol w:w="1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执法主体数量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执法主体名称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执法岗位设置数量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在岗执法人员数量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北湖街道综合执法中心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二、202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年度行政执法案件情况</w:t>
      </w:r>
    </w:p>
    <w:p>
      <w:pPr>
        <w:pStyle w:val="4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（一）202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年行政处罚实施情况统计表</w:t>
      </w:r>
    </w:p>
    <w:tbl>
      <w:tblPr>
        <w:tblStyle w:val="5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937"/>
        <w:gridCol w:w="878"/>
        <w:gridCol w:w="952"/>
        <w:gridCol w:w="1065"/>
        <w:gridCol w:w="795"/>
        <w:gridCol w:w="885"/>
        <w:gridCol w:w="885"/>
        <w:gridCol w:w="1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8416" w:type="dxa"/>
            <w:gridSpan w:val="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tabs>
                <w:tab w:val="left" w:pos="3082"/>
              </w:tabs>
              <w:spacing w:before="0" w:beforeAutospacing="0" w:after="0" w:afterAutospacing="0" w:line="40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75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Style w:val="8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8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警告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通报批评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罚款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没收违法所得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没收非法财物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暂扣许可证件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降低资质等级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吊销许可证件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100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限制开展生产经营活动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责令停产停业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责令关闭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限制从业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行政拘留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其他行政处罚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合计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（宗）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罚没金额（万元）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95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100</w:t>
            </w:r>
          </w:p>
        </w:tc>
        <w:tc>
          <w:tcPr>
            <w:tcW w:w="126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0.8954</w:t>
            </w:r>
          </w:p>
        </w:tc>
      </w:tr>
    </w:tbl>
    <w:p>
      <w:pPr>
        <w:pStyle w:val="4"/>
        <w:widowControl/>
        <w:spacing w:before="0" w:beforeAutospacing="0" w:after="0" w:afterAutospacing="0" w:line="300" w:lineRule="exact"/>
        <w:ind w:firstLine="461" w:firstLineChars="200"/>
        <w:jc w:val="both"/>
        <w:rPr>
          <w:rFonts w:hint="eastAsia" w:ascii="仿宋_GB2312" w:hAnsi="仿宋_GB2312" w:eastAsia="仿宋_GB2312" w:cs="仿宋_GB2312"/>
          <w:b/>
          <w:bCs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</w:p>
    <w:p>
      <w:pPr>
        <w:pStyle w:val="4"/>
        <w:widowControl/>
        <w:spacing w:before="0" w:beforeAutospacing="0" w:after="0" w:afterAutospacing="0" w:line="300" w:lineRule="exact"/>
        <w:ind w:firstLine="460" w:firstLineChars="200"/>
        <w:jc w:val="both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>1.行政处罚实施数量的统计范围为统计年度1月1日至12月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期间作出行政处罚决定的数量。</w:t>
      </w:r>
    </w:p>
    <w:p>
      <w:pPr>
        <w:pStyle w:val="4"/>
        <w:widowControl/>
        <w:spacing w:before="0" w:beforeAutospacing="0" w:after="0" w:afterAutospacing="0" w:line="300" w:lineRule="exact"/>
        <w:ind w:firstLine="460" w:firstLineChars="200"/>
        <w:jc w:val="both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>2.单处一个类别行政处罚的，计入相应的行政处罚类别；并处两种以上行政处罚的，算一宗行政处罚，计入</w:t>
      </w:r>
      <w:r>
        <w:rPr>
          <w:rFonts w:hint="eastAsia" w:ascii="仿宋_GB2312" w:hAnsi="仿宋_GB2312" w:eastAsia="仿宋_GB2312" w:cs="仿宋_GB2312"/>
          <w:b w:val="0"/>
          <w:bCs w:val="0"/>
          <w:sz w:val="23"/>
          <w:szCs w:val="23"/>
        </w:rPr>
        <w:t>表格排序在后</w:t>
      </w:r>
      <w:r>
        <w:rPr>
          <w:rFonts w:hint="eastAsia" w:ascii="仿宋_GB2312" w:hAnsi="仿宋_GB2312" w:eastAsia="仿宋_GB2312" w:cs="仿宋_GB2312"/>
          <w:sz w:val="23"/>
          <w:szCs w:val="23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</w:t>
      </w:r>
    </w:p>
    <w:p>
      <w:pPr>
        <w:pStyle w:val="4"/>
        <w:widowControl/>
        <w:spacing w:before="0" w:beforeAutospacing="0" w:after="0" w:afterAutospacing="0" w:line="300" w:lineRule="exact"/>
        <w:ind w:firstLine="460" w:firstLineChars="200"/>
        <w:jc w:val="both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>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</w:t>
      </w:r>
    </w:p>
    <w:p>
      <w:pPr>
        <w:pStyle w:val="4"/>
        <w:widowControl/>
        <w:spacing w:before="0" w:beforeAutospacing="0" w:after="0" w:afterAutospacing="0" w:line="300" w:lineRule="exact"/>
        <w:ind w:firstLine="460" w:firstLineChars="200"/>
        <w:jc w:val="both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>3.“没收非法财物”能通过评估、拍卖等手段确定金额的，计入“罚没金额”；不能确定金额的，不计入“罚没金额”。</w:t>
      </w:r>
    </w:p>
    <w:p>
      <w:pPr>
        <w:pStyle w:val="4"/>
        <w:widowControl/>
        <w:spacing w:before="0" w:beforeAutospacing="0" w:after="0" w:afterAutospacing="0" w:line="300" w:lineRule="exact"/>
        <w:ind w:firstLine="460" w:firstLineChars="200"/>
        <w:jc w:val="both"/>
        <w:rPr>
          <w:rFonts w:hint="eastAsia" w:ascii="CESI仿宋-GB2312" w:hAnsi="CESI仿宋-GB2312" w:eastAsia="CESI仿宋-GB2312" w:cs="CESI仿宋-GB2312"/>
          <w:b/>
          <w:bCs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>4.“罚没金额”以处罚决定书确定的金额为准。</w:t>
      </w:r>
    </w:p>
    <w:p>
      <w:pPr>
        <w:pStyle w:val="4"/>
        <w:widowControl/>
        <w:spacing w:before="180" w:beforeAutospacing="0" w:after="0" w:afterAutospacing="0" w:line="368" w:lineRule="atLeast"/>
        <w:ind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（二）202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年行政许可实施情况统计表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1543"/>
        <w:gridCol w:w="1599"/>
        <w:gridCol w:w="1545"/>
        <w:gridCol w:w="1494"/>
        <w:gridCol w:w="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56" w:type="dxa"/>
            <w:gridSpan w:val="6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2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8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154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申请数量</w:t>
            </w:r>
          </w:p>
        </w:tc>
        <w:tc>
          <w:tcPr>
            <w:tcW w:w="159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受理数量</w:t>
            </w:r>
          </w:p>
        </w:tc>
        <w:tc>
          <w:tcPr>
            <w:tcW w:w="154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许可数量</w:t>
            </w:r>
          </w:p>
        </w:tc>
        <w:tc>
          <w:tcPr>
            <w:tcW w:w="149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不予许可</w:t>
            </w:r>
          </w:p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  <w:tc>
          <w:tcPr>
            <w:tcW w:w="144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撤销许可</w:t>
            </w:r>
          </w:p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32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154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1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1.“申请数量”的统计范围为统计年度1月1日至12月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期间许可机关收到当事人许可申请的数量。2.“受理数量”、“许可数量”、“不予许可数量”、“撤销许可数量”的统计范围为统计年度1月1日至12月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期间许可机关作出受理决定、许可决定、不予许可决定和撤销许可决定的数量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（三）202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年行政强制实施情况统计表</w:t>
      </w:r>
      <w:r>
        <w:rPr>
          <w:rStyle w:val="8"/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  <w:t> 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711"/>
        <w:gridCol w:w="656"/>
        <w:gridCol w:w="699"/>
        <w:gridCol w:w="697"/>
        <w:gridCol w:w="589"/>
        <w:gridCol w:w="740"/>
        <w:gridCol w:w="958"/>
        <w:gridCol w:w="753"/>
        <w:gridCol w:w="425"/>
        <w:gridCol w:w="540"/>
        <w:gridCol w:w="534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551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8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2728" w:type="dxa"/>
            <w:gridSpan w:val="4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行政强制措施实施数量（宗）</w:t>
            </w:r>
          </w:p>
        </w:tc>
        <w:tc>
          <w:tcPr>
            <w:tcW w:w="4481" w:type="dxa"/>
            <w:gridSpan w:val="7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行政强制执行实施数量（宗）</w:t>
            </w:r>
          </w:p>
        </w:tc>
        <w:tc>
          <w:tcPr>
            <w:tcW w:w="1196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合计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查封场所、设施或者财物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</w:p>
        </w:tc>
        <w:tc>
          <w:tcPr>
            <w:tcW w:w="648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扣押财物</w:t>
            </w:r>
          </w:p>
        </w:tc>
        <w:tc>
          <w:tcPr>
            <w:tcW w:w="690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冻结存款、汇款</w:t>
            </w:r>
          </w:p>
        </w:tc>
        <w:tc>
          <w:tcPr>
            <w:tcW w:w="688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其他行政强制措施</w:t>
            </w:r>
          </w:p>
        </w:tc>
        <w:tc>
          <w:tcPr>
            <w:tcW w:w="3954" w:type="dxa"/>
            <w:gridSpan w:val="6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行政机关强制执行</w:t>
            </w:r>
          </w:p>
        </w:tc>
        <w:tc>
          <w:tcPr>
            <w:tcW w:w="527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申请法院强制执行</w:t>
            </w:r>
          </w:p>
        </w:tc>
        <w:tc>
          <w:tcPr>
            <w:tcW w:w="119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8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加处罚款或者滞纳金</w:t>
            </w:r>
          </w:p>
        </w:tc>
        <w:tc>
          <w:tcPr>
            <w:tcW w:w="73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划拨存款、汇款</w:t>
            </w:r>
          </w:p>
        </w:tc>
        <w:tc>
          <w:tcPr>
            <w:tcW w:w="94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拍卖或者依法处理查封、扣押的场所、设施或者财物</w:t>
            </w:r>
          </w:p>
        </w:tc>
        <w:tc>
          <w:tcPr>
            <w:tcW w:w="74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排除妨碍、恢复原状</w:t>
            </w:r>
          </w:p>
        </w:tc>
        <w:tc>
          <w:tcPr>
            <w:tcW w:w="4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代履行</w:t>
            </w:r>
          </w:p>
        </w:tc>
        <w:tc>
          <w:tcPr>
            <w:tcW w:w="5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其他强制执行</w:t>
            </w:r>
          </w:p>
        </w:tc>
        <w:tc>
          <w:tcPr>
            <w:tcW w:w="52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55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70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52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119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1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1.“行政强制措施实施数量”的统计范围为统计年度1月1日至12月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期间作出的表格所列各类行政强制措施决定的数量。2.“行政强制执行实施数量”的统计范围为统计年度1月1日至12月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期间表格所列各类行政强制执行行为执行完毕或者终结执行的数量。3.“申请法院强制执行”数量的统计范围为统计年度1月1日至12月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期间向法院申请强制执行的数量，时间以申请日期为准。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（四）202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年其他行政执法行为实施情况统计表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523"/>
        <w:gridCol w:w="713"/>
        <w:gridCol w:w="720"/>
        <w:gridCol w:w="656"/>
        <w:gridCol w:w="842"/>
        <w:gridCol w:w="666"/>
        <w:gridCol w:w="766"/>
        <w:gridCol w:w="693"/>
        <w:gridCol w:w="583"/>
        <w:gridCol w:w="754"/>
        <w:gridCol w:w="959"/>
        <w:gridCol w:w="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8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行政征收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行政检查</w:t>
            </w:r>
          </w:p>
        </w:tc>
        <w:tc>
          <w:tcPr>
            <w:tcW w:w="1498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行政裁决</w:t>
            </w:r>
          </w:p>
        </w:tc>
        <w:tc>
          <w:tcPr>
            <w:tcW w:w="1432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行政给付</w:t>
            </w:r>
          </w:p>
        </w:tc>
        <w:tc>
          <w:tcPr>
            <w:tcW w:w="693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行政确认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行政奖励</w:t>
            </w:r>
          </w:p>
        </w:tc>
        <w:tc>
          <w:tcPr>
            <w:tcW w:w="959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其他行政执法行为</w:t>
            </w:r>
          </w:p>
        </w:tc>
        <w:tc>
          <w:tcPr>
            <w:tcW w:w="663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合计</w:t>
            </w: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pacing w:val="-16"/>
                <w:w w:val="96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2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宗数</w:t>
            </w:r>
          </w:p>
        </w:tc>
        <w:tc>
          <w:tcPr>
            <w:tcW w:w="71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征收总金额（万元）</w:t>
            </w:r>
          </w:p>
        </w:tc>
        <w:tc>
          <w:tcPr>
            <w:tcW w:w="7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65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84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涉及金额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（万元）</w:t>
            </w:r>
          </w:p>
        </w:tc>
        <w:tc>
          <w:tcPr>
            <w:tcW w:w="6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7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给付总金额（万元）</w:t>
            </w:r>
          </w:p>
        </w:tc>
        <w:tc>
          <w:tcPr>
            <w:tcW w:w="69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58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宗数</w:t>
            </w:r>
          </w:p>
        </w:tc>
        <w:tc>
          <w:tcPr>
            <w:tcW w:w="75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奖励总金额（万元）</w:t>
            </w:r>
          </w:p>
        </w:tc>
        <w:tc>
          <w:tcPr>
            <w:tcW w:w="95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66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53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52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816</w:t>
            </w:r>
          </w:p>
        </w:tc>
        <w:tc>
          <w:tcPr>
            <w:tcW w:w="65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816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61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1.“行政征收次数”的统计范围为统计年度1月1日至12月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期间征收完毕的数量。2.“行政检查次数”的统计范围为统计年度1月1日至12月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开展行政检查的次数；检查1个检查对象，有完整、详细检查记录的，计为检查1次；无特定检查对象的巡查、巡逻，无完整、详细检查记录，检查后作出行政处罚等其他行政执法行为的，均不计为检查次数。3.“行政裁决宗数”、“行政确认宗数”、“行政奖励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期间作出决定的数量。4.“行政给付宗数”的统计范围为统计年度1月1日至12月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期间给付完毕的数量。5.“其他行政执法行为”的统计范围为统计年度1月1日至12月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期间完成的宗数。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（五）202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年行政执法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案件人均办案量</w:t>
      </w:r>
    </w:p>
    <w:tbl>
      <w:tblPr>
        <w:tblStyle w:val="6"/>
        <w:tblW w:w="92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06"/>
        <w:gridCol w:w="506"/>
        <w:gridCol w:w="583"/>
        <w:gridCol w:w="578"/>
        <w:gridCol w:w="543"/>
        <w:gridCol w:w="543"/>
        <w:gridCol w:w="531"/>
        <w:gridCol w:w="531"/>
        <w:gridCol w:w="524"/>
        <w:gridCol w:w="525"/>
        <w:gridCol w:w="582"/>
        <w:gridCol w:w="583"/>
        <w:gridCol w:w="506"/>
        <w:gridCol w:w="507"/>
        <w:gridCol w:w="506"/>
        <w:gridCol w:w="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行政确认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行政征收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行政给付</w:t>
            </w:r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行政奖励</w:t>
            </w:r>
          </w:p>
        </w:tc>
        <w:tc>
          <w:tcPr>
            <w:tcW w:w="1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行政裁决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szCs w:val="24"/>
                <w:lang w:val="en-US" w:eastAsia="zh-CN"/>
              </w:rPr>
              <w:t>人均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北湖街道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tabs>
                <w:tab w:val="left" w:pos="411"/>
              </w:tabs>
              <w:spacing w:before="0" w:beforeAutospacing="0" w:after="0" w:afterAutospacing="0" w:line="400" w:lineRule="exact"/>
              <w:jc w:val="left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100</w:t>
            </w: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ab/>
            </w:r>
          </w:p>
        </w:tc>
        <w:tc>
          <w:tcPr>
            <w:tcW w:w="5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tabs>
                <w:tab w:val="left" w:pos="411"/>
              </w:tabs>
              <w:spacing w:before="0" w:beforeAutospacing="0" w:after="0" w:afterAutospacing="0" w:line="400" w:lineRule="exact"/>
              <w:jc w:val="left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11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年行政执法实施概况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16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6"/>
          <w:sz w:val="32"/>
          <w:szCs w:val="32"/>
          <w:lang w:val="en-US" w:eastAsia="zh-CN"/>
        </w:rPr>
        <w:t>完成行政处罚案件100件，均为罚款，其中简易案件24件，一般案件76件，共计处罚金额8954元。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、202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行政检查计划执行情况以及人均检查量、检查合格率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16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6"/>
          <w:sz w:val="32"/>
          <w:szCs w:val="32"/>
          <w:lang w:val="en-US" w:eastAsia="zh-CN"/>
        </w:rPr>
        <w:t>完成行政检查共计816件，人均90件，合格率100％。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、202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年度行政执法投诉、举报案件情况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16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6"/>
          <w:sz w:val="32"/>
          <w:szCs w:val="32"/>
          <w:lang w:val="en-US" w:eastAsia="zh-CN"/>
        </w:rPr>
        <w:t>无行政执法的投诉、举报案件。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五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、其他需要公示的统计数据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640" w:firstLineChars="200"/>
        <w:jc w:val="righ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江汉区人民政府北湖街道办事处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2023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27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日     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YjU0ZTZjY2YzZDhhYTlkYmI4Mjk0YTU1MDk3ODQifQ=="/>
  </w:docVars>
  <w:rsids>
    <w:rsidRoot w:val="00000000"/>
    <w:rsid w:val="29FF2F4C"/>
    <w:rsid w:val="2FBF1B74"/>
    <w:rsid w:val="37F6A514"/>
    <w:rsid w:val="3FBDF1E6"/>
    <w:rsid w:val="47CA58C2"/>
    <w:rsid w:val="4E67725A"/>
    <w:rsid w:val="54B77D24"/>
    <w:rsid w:val="559B4726"/>
    <w:rsid w:val="69392A03"/>
    <w:rsid w:val="73E71A5A"/>
    <w:rsid w:val="75F3B3E5"/>
    <w:rsid w:val="7F02D380"/>
    <w:rsid w:val="7FF77FEC"/>
    <w:rsid w:val="7FFF8814"/>
    <w:rsid w:val="AF6F643D"/>
    <w:rsid w:val="AFBDDDD9"/>
    <w:rsid w:val="BBBBEDD9"/>
    <w:rsid w:val="BE7D56F5"/>
    <w:rsid w:val="CEFFB3D1"/>
    <w:rsid w:val="CFFFB735"/>
    <w:rsid w:val="D3DB24C3"/>
    <w:rsid w:val="DEB78B56"/>
    <w:rsid w:val="E3DF9F30"/>
    <w:rsid w:val="EE35FB3C"/>
    <w:rsid w:val="EFB5CFFF"/>
    <w:rsid w:val="EFED7771"/>
    <w:rsid w:val="F337C192"/>
    <w:rsid w:val="F6EF1639"/>
    <w:rsid w:val="FBDD5253"/>
    <w:rsid w:val="FDB14CA4"/>
    <w:rsid w:val="FE5F0C93"/>
    <w:rsid w:val="FF7EEC7E"/>
    <w:rsid w:val="FFBE2371"/>
    <w:rsid w:val="FFD6A5AC"/>
    <w:rsid w:val="FFFB8F71"/>
    <w:rsid w:val="FFFE50CA"/>
    <w:rsid w:val="FF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2023-12-23T08:20:00Z</dcterms:created>
  <dc:creator>pengyu</dc:creator>
  <cp:lastModifiedBy>user</cp:lastModifiedBy>
  <dcterms:modified xsi:type="dcterms:W3CDTF">2024-01-18T09:57:26Z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AFC9E0A9A0B24EDF97B81F11DE0BA2FE_13</vt:lpwstr>
  </property>
</Properties>
</file>