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15"/>
        <w:gridCol w:w="1020"/>
        <w:gridCol w:w="887"/>
        <w:gridCol w:w="1134"/>
        <w:gridCol w:w="469"/>
        <w:gridCol w:w="665"/>
        <w:gridCol w:w="851"/>
        <w:gridCol w:w="283"/>
        <w:gridCol w:w="284"/>
        <w:gridCol w:w="425"/>
        <w:gridCol w:w="142"/>
        <w:gridCol w:w="283"/>
        <w:gridCol w:w="426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单位：（盖章）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党建、文明创建及法律顾问经费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财务负责人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项目科室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项目负责人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/>
                <w:color w:val="000000"/>
                <w:sz w:val="20"/>
              </w:rPr>
              <w:t>“三会一课”活动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≧14次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持续学习不够。对廉政风险点认识不强,防范意识不够。改进措施：一是要进一步加强政治理论学习，学深悟透一章三书，坚定理想信念。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是要保持清廉本色，在廉洁自律上做出表率。时刻保持底线意识、红线意识。认真履行“一岗双责”,要充分运用“四种形态”抓好中心的党风廉政建设。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/>
                <w:color w:val="000000"/>
                <w:sz w:val="20"/>
              </w:rPr>
              <w:t>法律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咨询答复率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left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color w:val="000000"/>
                <w:sz w:val="20"/>
              </w:rPr>
              <w:t>开展“七五”普法工作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≧1次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：社区共建共联数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≧1个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形式主义、官僚主义仍然不同程度地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存在。改进措施：要进一步改进作风。力戒形式主义、官僚主义，以身作则、以上率下。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color w:val="000000"/>
                <w:sz w:val="20"/>
              </w:rPr>
              <w:t>文明创建活动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≧4次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/>
                <w:color w:val="000000"/>
                <w:sz w:val="20"/>
              </w:rPr>
              <w:t>文明创建考评合格率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获得文明单位光荣称号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/>
                <w:color w:val="000000"/>
                <w:sz w:val="20"/>
              </w:rPr>
              <w:t>工作完成及时率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/>
                <w:color w:val="000000"/>
                <w:sz w:val="20"/>
              </w:rPr>
              <w:t>法律纠纷化解率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/>
                <w:color w:val="000000"/>
                <w:sz w:val="20"/>
              </w:rPr>
              <w:t>法制法规普及率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≥75%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color w:val="000000"/>
                <w:sz w:val="20"/>
              </w:rPr>
              <w:t>一感两度两率达标率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均≥90%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/>
                <w:color w:val="000000"/>
                <w:sz w:val="20"/>
              </w:rPr>
              <w:t>党建工作满意度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良以上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1、“年度指标值”：年初未设立2019年预算绩效目标的项目，“年度指标值”的设定，来源于“市（区）级目标”“单位自定目标”“历史标准”“行业标准”“经验标准”和“制度标准"等。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2、偏差原因分析及改进措施：从指标值设置是否合理、指标值是否可获取、指标未完成原因（政策、制度、管理）等方面进行分析并提出改进措施和建议。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46C7"/>
    <w:rsid w:val="08205663"/>
    <w:rsid w:val="139054A7"/>
    <w:rsid w:val="146D57BC"/>
    <w:rsid w:val="190346C7"/>
    <w:rsid w:val="23C9023A"/>
    <w:rsid w:val="28B23953"/>
    <w:rsid w:val="291B6F27"/>
    <w:rsid w:val="472136A1"/>
    <w:rsid w:val="49980322"/>
    <w:rsid w:val="58711232"/>
    <w:rsid w:val="5B416075"/>
    <w:rsid w:val="64AA39F3"/>
    <w:rsid w:val="6A24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5"/>
    <w:uiPriority w:val="3"/>
    <w:pPr>
      <w:widowControl/>
      <w:jc w:val="both"/>
    </w:pPr>
    <w:rPr>
      <w:rFonts w:ascii="Times New Roman" w:hAnsi="Times New Roman" w:eastAsia="Times New Roman"/>
      <w:sz w:val="21"/>
    </w:rPr>
  </w:style>
  <w:style w:type="paragraph" w:customStyle="1" w:styleId="5">
    <w:name w:val="[Normal]"/>
    <w:uiPriority w:val="6"/>
    <w:rPr>
      <w:rFonts w:ascii="宋体" w:hAnsi="宋体" w:eastAsia="宋体" w:cs="Times New Roman"/>
      <w:sz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2020-04-28T08:35:00Z</dcterms:created>
  <dc:creator>1904</dc:creator>
  <cp:lastModifiedBy>Administrator</cp:lastModifiedBy>
  <cp:lastPrinted>2020-04-30T06:47:00Z</cp:lastPrinted>
  <dcterms:modified xsi:type="dcterms:W3CDTF">2020-09-23T02:12:41Z</dcterms:modified>
  <dc:title>附近2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