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2"/>
        <w:gridCol w:w="975"/>
        <w:gridCol w:w="865"/>
        <w:gridCol w:w="1134"/>
        <w:gridCol w:w="1106"/>
        <w:gridCol w:w="780"/>
        <w:gridCol w:w="382"/>
        <w:gridCol w:w="83"/>
        <w:gridCol w:w="375"/>
        <w:gridCol w:w="251"/>
        <w:gridCol w:w="214"/>
        <w:gridCol w:w="63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单位：（盖章）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江汉宣传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财务负责人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项目科室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新闻策划科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项目负责人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13.97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13.97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11.65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视频新闻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48条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专题片制作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1部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全面完成全年新闻绩效目标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完成《学习强国》供稿目标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完成时效率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≤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规定时间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成本控制率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预算安排好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不考核该指标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解决市民关心的难点热点问题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加强全区宣传思想工作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运用《学习强国》平台开展学习教育</w:t>
            </w:r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不考核该指标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财务可持续性，资金有保证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管理可持续性，适应能力不断提高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宣传区委区政府中心工作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1、“年度指标值”：年初未设立2019年预算绩效目标的项目，“年度指标值”的设定，来源于“市（区）级目标”“单位自定目标”“历史标准”“行业标准”“经验标准”和“制度标准"等。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2、偏差原因分析及改进措施：从指标值设置是否合理、指标值是否可获取、指标未完成原因（政策、制度、管理）等方面进行分析并提出改进措施和建议。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46C7"/>
    <w:rsid w:val="139054A7"/>
    <w:rsid w:val="190346C7"/>
    <w:rsid w:val="23C9023A"/>
    <w:rsid w:val="28B23953"/>
    <w:rsid w:val="291B6F27"/>
    <w:rsid w:val="49980322"/>
    <w:rsid w:val="58711232"/>
    <w:rsid w:val="5B416075"/>
    <w:rsid w:val="5D992EB9"/>
    <w:rsid w:val="6A24742E"/>
    <w:rsid w:val="73B956A1"/>
    <w:rsid w:val="7E6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武汉市财政局</Company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2020-04-28T08:35:00Z</dcterms:created>
  <dc:creator>1904</dc:creator>
  <cp:lastModifiedBy>周玉洪</cp:lastModifiedBy>
  <cp:lastPrinted>2020-04-30T06:47:00Z</cp:lastPrinted>
  <dcterms:modified xsi:type="dcterms:W3CDTF">2020-09-09T02:14:14Z</dcterms:modified>
  <dc:title>附近2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