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D98C9">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bookmarkStart w:id="0" w:name="_Toc21879"/>
      <w:bookmarkStart w:id="1" w:name="_Toc19075"/>
    </w:p>
    <w:p w14:paraId="22BFBCF7">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p>
    <w:p w14:paraId="61B01C1B">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p>
    <w:p w14:paraId="7A2BB7CD">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sz w:val="44"/>
          <w:szCs w:val="44"/>
          <w:lang w:eastAsia="zh-CN"/>
        </w:rPr>
      </w:pPr>
    </w:p>
    <w:p w14:paraId="266F7C8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sz w:val="44"/>
          <w:szCs w:val="44"/>
          <w:lang w:eastAsia="zh-CN"/>
        </w:rPr>
      </w:pPr>
      <w:bookmarkStart w:id="2" w:name="_Toc465"/>
      <w:bookmarkStart w:id="3" w:name="_Toc1180"/>
      <w:bookmarkStart w:id="4" w:name="_Toc30034"/>
      <w:bookmarkStart w:id="5" w:name="_Toc20439"/>
      <w:bookmarkStart w:id="6" w:name="_Toc29961"/>
      <w:bookmarkStart w:id="7" w:name="_Toc95"/>
      <w:bookmarkStart w:id="8" w:name="_Toc19217"/>
      <w:bookmarkStart w:id="9" w:name="_Toc21846"/>
      <w:bookmarkStart w:id="10" w:name="_Toc9333"/>
      <w:r>
        <w:rPr>
          <w:rFonts w:hint="eastAsia" w:ascii="方正小标宋简体" w:hAnsi="方正小标宋简体" w:eastAsia="方正小标宋简体" w:cs="方正小标宋简体"/>
          <w:sz w:val="44"/>
          <w:szCs w:val="44"/>
          <w:lang w:eastAsia="zh-CN"/>
        </w:rPr>
        <w:t>江汉万松</w:t>
      </w:r>
      <w:bookmarkEnd w:id="0"/>
      <w:bookmarkEnd w:id="1"/>
      <w:bookmarkEnd w:id="2"/>
      <w:bookmarkEnd w:id="3"/>
      <w:bookmarkEnd w:id="4"/>
      <w:bookmarkEnd w:id="5"/>
      <w:bookmarkEnd w:id="6"/>
      <w:bookmarkEnd w:id="7"/>
      <w:bookmarkStart w:id="11" w:name="_Toc18044"/>
      <w:bookmarkStart w:id="12" w:name="_Toc604"/>
      <w:bookmarkStart w:id="13" w:name="_Toc31982"/>
      <w:bookmarkStart w:id="14" w:name="_Toc15138"/>
      <w:bookmarkStart w:id="15" w:name="_Toc5983"/>
      <w:bookmarkStart w:id="16" w:name="_Toc6714"/>
      <w:bookmarkStart w:id="17" w:name="_Toc6763"/>
      <w:bookmarkStart w:id="18" w:name="_Toc20487"/>
      <w:r>
        <w:rPr>
          <w:rFonts w:hint="eastAsia" w:ascii="方正小标宋简体" w:hAnsi="方正小标宋简体" w:eastAsia="方正小标宋简体" w:cs="方正小标宋简体"/>
          <w:sz w:val="44"/>
          <w:szCs w:val="44"/>
          <w:lang w:eastAsia="zh-CN"/>
        </w:rPr>
        <w:t>湖北鑫佳铭和建设工程有限公司10</w:t>
      </w:r>
      <w:r>
        <w:rPr>
          <w:rFonts w:hint="default" w:ascii="Times New Roman" w:hAnsi="Times New Roman" w:eastAsia="方正小标宋简体" w:cs="Times New Roman"/>
          <w:sz w:val="44"/>
          <w:szCs w:val="44"/>
          <w:lang w:eastAsia="zh-CN"/>
        </w:rPr>
        <w:t>•</w:t>
      </w:r>
      <w:r>
        <w:rPr>
          <w:rFonts w:hint="eastAsia" w:ascii="方正小标宋简体" w:hAnsi="方正小标宋简体" w:eastAsia="方正小标宋简体" w:cs="方正小标宋简体"/>
          <w:sz w:val="44"/>
          <w:szCs w:val="44"/>
          <w:lang w:eastAsia="zh-CN"/>
        </w:rPr>
        <w:t>29一般高坠事故调查报告</w:t>
      </w:r>
      <w:bookmarkEnd w:id="8"/>
      <w:bookmarkEnd w:id="9"/>
      <w:bookmarkEnd w:id="10"/>
      <w:bookmarkEnd w:id="11"/>
      <w:bookmarkEnd w:id="12"/>
      <w:bookmarkEnd w:id="13"/>
      <w:bookmarkEnd w:id="14"/>
      <w:bookmarkEnd w:id="15"/>
      <w:bookmarkEnd w:id="16"/>
      <w:bookmarkEnd w:id="17"/>
      <w:bookmarkEnd w:id="18"/>
    </w:p>
    <w:p w14:paraId="65BC3C17">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42E13A87">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13C0880F">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7686F79A">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7EBA3DC4">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1D6B78FA">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429171D5">
      <w:pPr>
        <w:pStyle w:val="12"/>
        <w:rPr>
          <w:rFonts w:hint="eastAsia" w:ascii="方正小标宋简体" w:hAnsi="方正小标宋简体" w:eastAsia="方正小标宋简体" w:cs="方正小标宋简体"/>
          <w:sz w:val="44"/>
          <w:szCs w:val="44"/>
          <w:lang w:eastAsia="zh-CN"/>
        </w:rPr>
      </w:pPr>
    </w:p>
    <w:p w14:paraId="5FBE57D5">
      <w:pPr>
        <w:rPr>
          <w:rFonts w:hint="eastAsia" w:ascii="方正小标宋简体" w:hAnsi="方正小标宋简体" w:eastAsia="方正小标宋简体" w:cs="方正小标宋简体"/>
          <w:sz w:val="44"/>
          <w:szCs w:val="44"/>
          <w:lang w:eastAsia="zh-CN"/>
        </w:rPr>
      </w:pPr>
    </w:p>
    <w:p w14:paraId="78888088">
      <w:pPr>
        <w:pStyle w:val="12"/>
        <w:rPr>
          <w:rFonts w:hint="eastAsia" w:ascii="方正小标宋简体" w:hAnsi="方正小标宋简体" w:eastAsia="方正小标宋简体" w:cs="方正小标宋简体"/>
          <w:sz w:val="44"/>
          <w:szCs w:val="44"/>
          <w:lang w:eastAsia="zh-CN"/>
        </w:rPr>
      </w:pPr>
    </w:p>
    <w:p w14:paraId="140163B7">
      <w:pPr>
        <w:rPr>
          <w:rFonts w:hint="eastAsia" w:ascii="方正小标宋简体" w:hAnsi="方正小标宋简体" w:eastAsia="方正小标宋简体" w:cs="方正小标宋简体"/>
          <w:sz w:val="44"/>
          <w:szCs w:val="44"/>
          <w:lang w:eastAsia="zh-CN"/>
        </w:rPr>
      </w:pPr>
    </w:p>
    <w:p w14:paraId="6DB4E4BB">
      <w:pPr>
        <w:keepNext w:val="0"/>
        <w:keepLines w:val="0"/>
        <w:pageBreakBefore w:val="0"/>
        <w:widowControl w:val="0"/>
        <w:kinsoku/>
        <w:wordWrap/>
        <w:topLinePunct w:val="0"/>
        <w:bidi w:val="0"/>
        <w:spacing w:line="240" w:lineRule="auto"/>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江汉区政府事故调查组</w:t>
      </w:r>
    </w:p>
    <w:p w14:paraId="486D099F">
      <w:pPr>
        <w:keepNext w:val="0"/>
        <w:keepLines w:val="0"/>
        <w:pageBreakBefore w:val="0"/>
        <w:widowControl w:val="0"/>
        <w:kinsoku/>
        <w:wordWrap/>
        <w:topLinePunct w:val="0"/>
        <w:bidi w:val="0"/>
        <w:spacing w:line="240" w:lineRule="auto"/>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2024年7月11日</w:t>
      </w:r>
    </w:p>
    <w:p w14:paraId="585B0165">
      <w:pPr>
        <w:keepNext w:val="0"/>
        <w:keepLines w:val="0"/>
        <w:pageBreakBefore w:val="0"/>
        <w:widowControl w:val="0"/>
        <w:kinsoku/>
        <w:wordWrap/>
        <w:topLinePunct w:val="0"/>
        <w:bidi w:val="0"/>
        <w:spacing w:line="560" w:lineRule="exact"/>
        <w:textAlignment w:val="auto"/>
      </w:pPr>
    </w:p>
    <w:p w14:paraId="1B108233">
      <w:pPr>
        <w:keepNext w:val="0"/>
        <w:keepLines w:val="0"/>
        <w:pageBreakBefore w:val="0"/>
        <w:widowControl w:val="0"/>
        <w:kinsoku/>
        <w:wordWrap/>
        <w:topLinePunct w:val="0"/>
        <w:bidi w:val="0"/>
        <w:spacing w:line="560" w:lineRule="exact"/>
        <w:jc w:val="center"/>
        <w:textAlignment w:val="auto"/>
        <w:rPr>
          <w:rFonts w:hint="eastAsia" w:ascii="方正小标宋简体" w:hAnsi="方正小标宋简体" w:eastAsia="方正小标宋简体" w:cs="方正小标宋简体"/>
          <w:sz w:val="44"/>
          <w:szCs w:val="44"/>
          <w:lang w:eastAsia="zh-CN"/>
        </w:rPr>
        <w:sectPr>
          <w:pgSz w:w="11906" w:h="16838"/>
          <w:pgMar w:top="2098" w:right="1417" w:bottom="1984" w:left="1587" w:header="851" w:footer="992" w:gutter="0"/>
          <w:pgNumType w:fmt="decimal"/>
          <w:cols w:space="0" w:num="1"/>
          <w:rtlGutter w:val="0"/>
          <w:docGrid w:type="lines" w:linePitch="312" w:charSpace="0"/>
        </w:sectPr>
      </w:pPr>
    </w:p>
    <w:sdt>
      <w:sdtPr>
        <w:rPr>
          <w:rFonts w:ascii="宋体" w:hAnsi="宋体" w:eastAsia="宋体" w:cstheme="minorBidi"/>
          <w:kern w:val="2"/>
          <w:sz w:val="32"/>
          <w:szCs w:val="32"/>
          <w:lang w:val="en-US" w:eastAsia="zh-CN" w:bidi="ar-SA"/>
        </w:rPr>
        <w:id w:val="147470854"/>
        <w15:color w:val="DBDBDB"/>
      </w:sdtPr>
      <w:sdtEndPr>
        <w:rPr>
          <w:rFonts w:hint="eastAsia" w:ascii="方正小标宋简体" w:hAnsi="方正小标宋简体" w:eastAsia="方正小标宋简体" w:cs="方正小标宋简体"/>
          <w:b/>
          <w:color w:val="000000"/>
          <w:kern w:val="2"/>
          <w:sz w:val="32"/>
          <w:szCs w:val="44"/>
          <w:lang w:val="en-US" w:eastAsia="zh-CN" w:bidi="ar-SA"/>
        </w:rPr>
      </w:sdtEndPr>
      <w:sdtContent>
        <w:p w14:paraId="5460F235">
          <w:pPr>
            <w:pStyle w:val="12"/>
            <w:keepNext w:val="0"/>
            <w:keepLines w:val="0"/>
            <w:pageBreakBefore w:val="0"/>
            <w:widowControl w:val="0"/>
            <w:kinsoku/>
            <w:wordWrap/>
            <w:topLinePunct w:val="0"/>
            <w:bidi w:val="0"/>
            <w:spacing w:before="0" w:beforeLines="0" w:after="0" w:afterLines="0" w:line="56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000000"/>
              <w:kern w:val="2"/>
              <w:sz w:val="32"/>
              <w:szCs w:val="44"/>
              <w:lang w:val="en-US" w:eastAsia="zh-CN" w:bidi="ar-SA"/>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r>
            <w:rPr>
              <w:rFonts w:hint="eastAsia" w:ascii="方正小标宋简体" w:hAnsi="方正小标宋简体" w:eastAsia="方正小标宋简体" w:cs="方正小标宋简体"/>
              <w:sz w:val="44"/>
              <w:szCs w:val="44"/>
              <w:lang w:val="en-US" w:eastAsia="zh-CN"/>
            </w:rPr>
            <w:fldChar w:fldCharType="begin"/>
          </w:r>
          <w:r>
            <w:rPr>
              <w:rFonts w:hint="eastAsia" w:ascii="方正小标宋简体" w:hAnsi="方正小标宋简体" w:eastAsia="方正小标宋简体" w:cs="方正小标宋简体"/>
              <w:sz w:val="44"/>
              <w:szCs w:val="44"/>
              <w:lang w:val="en-US" w:eastAsia="zh-CN"/>
            </w:rPr>
            <w:instrText xml:space="preserve">TOC \o "1-2" \h \u </w:instrText>
          </w:r>
          <w:r>
            <w:rPr>
              <w:rFonts w:hint="eastAsia" w:ascii="方正小标宋简体" w:hAnsi="方正小标宋简体" w:eastAsia="方正小标宋简体" w:cs="方正小标宋简体"/>
              <w:sz w:val="44"/>
              <w:szCs w:val="44"/>
              <w:lang w:val="en-US" w:eastAsia="zh-CN"/>
            </w:rPr>
            <w:fldChar w:fldCharType="separate"/>
          </w:r>
        </w:p>
        <w:p w14:paraId="2BD5577D">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_Toc21846 </w:instrText>
          </w:r>
          <w:r>
            <w:rPr>
              <w:rFonts w:hint="eastAsia" w:ascii="方正小标宋简体" w:hAnsi="方正小标宋简体" w:eastAsia="方正小标宋简体" w:cs="方正小标宋简体"/>
              <w:szCs w:val="44"/>
              <w:lang w:val="en-US" w:eastAsia="zh-CN"/>
            </w:rPr>
            <w:fldChar w:fldCharType="separate"/>
          </w:r>
          <w:r>
            <w:rPr>
              <w:rFonts w:hint="eastAsia" w:ascii="方正小标宋简体" w:hAnsi="方正小标宋简体" w:eastAsia="方正小标宋简体" w:cs="方正小标宋简体"/>
              <w:szCs w:val="44"/>
              <w:lang w:eastAsia="zh-CN"/>
            </w:rPr>
            <w:t>江汉万松湖北鑫佳铭和建设工程有限公司10</w:t>
          </w:r>
          <w:r>
            <w:rPr>
              <w:rFonts w:hint="default" w:ascii="Times New Roman" w:hAnsi="Times New Roman" w:eastAsia="方正小标宋简体" w:cs="Times New Roman"/>
              <w:szCs w:val="44"/>
              <w:lang w:eastAsia="zh-CN"/>
            </w:rPr>
            <w:t>•</w:t>
          </w:r>
          <w:r>
            <w:rPr>
              <w:rFonts w:hint="eastAsia" w:ascii="方正小标宋简体" w:hAnsi="方正小标宋简体" w:eastAsia="方正小标宋简体" w:cs="方正小标宋简体"/>
              <w:szCs w:val="44"/>
              <w:lang w:eastAsia="zh-CN"/>
            </w:rPr>
            <w:t>29一般高坠事故调查报告</w:t>
          </w:r>
          <w:r>
            <w:tab/>
          </w:r>
          <w:r>
            <w:fldChar w:fldCharType="begin"/>
          </w:r>
          <w:r>
            <w:instrText xml:space="preserve"> PAGEREF _Toc21846 \h </w:instrText>
          </w:r>
          <w:r>
            <w:fldChar w:fldCharType="separate"/>
          </w:r>
          <w:r>
            <w:t>1</w:t>
          </w:r>
          <w:r>
            <w:fldChar w:fldCharType="end"/>
          </w:r>
          <w:r>
            <w:rPr>
              <w:rFonts w:hint="eastAsia" w:ascii="方正小标宋简体" w:hAnsi="方正小标宋简体" w:eastAsia="方正小标宋简体" w:cs="方正小标宋简体"/>
              <w:szCs w:val="44"/>
              <w:lang w:val="en-US" w:eastAsia="zh-CN"/>
            </w:rPr>
            <w:fldChar w:fldCharType="end"/>
          </w:r>
        </w:p>
        <w:p w14:paraId="2FACD5D0">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_Toc9781 </w:instrText>
          </w:r>
          <w:r>
            <w:rPr>
              <w:rFonts w:hint="eastAsia" w:ascii="方正小标宋简体" w:hAnsi="方正小标宋简体" w:eastAsia="方正小标宋简体" w:cs="方正小标宋简体"/>
              <w:szCs w:val="44"/>
              <w:lang w:val="en-US" w:eastAsia="zh-CN"/>
            </w:rPr>
            <w:fldChar w:fldCharType="separate"/>
          </w:r>
          <w:r>
            <w:rPr>
              <w:rFonts w:hint="eastAsia" w:ascii="黑体" w:hAnsi="黑体" w:eastAsia="黑体" w:cs="黑体"/>
              <w:bCs/>
              <w:szCs w:val="32"/>
              <w:lang w:val="en-US" w:eastAsia="zh-CN"/>
            </w:rPr>
            <w:t>一、 事故基本情况</w:t>
          </w:r>
          <w:r>
            <w:tab/>
          </w:r>
          <w:r>
            <w:fldChar w:fldCharType="begin"/>
          </w:r>
          <w:r>
            <w:instrText xml:space="preserve"> PAGEREF _Toc9781 \h </w:instrText>
          </w:r>
          <w:r>
            <w:fldChar w:fldCharType="separate"/>
          </w:r>
          <w:r>
            <w:t>2</w:t>
          </w:r>
          <w:r>
            <w:fldChar w:fldCharType="end"/>
          </w:r>
          <w:r>
            <w:rPr>
              <w:rFonts w:hint="eastAsia" w:ascii="方正小标宋简体" w:hAnsi="方正小标宋简体" w:eastAsia="方正小标宋简体" w:cs="方正小标宋简体"/>
              <w:szCs w:val="44"/>
              <w:lang w:val="en-US" w:eastAsia="zh-CN"/>
            </w:rPr>
            <w:fldChar w:fldCharType="end"/>
          </w:r>
        </w:p>
        <w:p w14:paraId="36268D44">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_Toc26546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（一）</w:t>
          </w:r>
          <w:r>
            <w:rPr>
              <w:rFonts w:hint="eastAsia" w:ascii="楷体_GB2312" w:hAnsi="楷体_GB2312" w:eastAsia="楷体_GB2312" w:cs="楷体_GB2312"/>
              <w:bCs/>
              <w:szCs w:val="32"/>
              <w:lang w:val="en-US" w:eastAsia="zh-CN"/>
            </w:rPr>
            <w:t>事故发生单位及相关单位概况</w:t>
          </w:r>
          <w:r>
            <w:tab/>
          </w:r>
          <w:r>
            <w:fldChar w:fldCharType="begin"/>
          </w:r>
          <w:r>
            <w:instrText xml:space="preserve"> PAGEREF _Toc26546 \h </w:instrText>
          </w:r>
          <w:r>
            <w:fldChar w:fldCharType="separate"/>
          </w:r>
          <w:r>
            <w:t>2</w:t>
          </w:r>
          <w:r>
            <w:fldChar w:fldCharType="end"/>
          </w:r>
          <w:r>
            <w:rPr>
              <w:rFonts w:hint="eastAsia" w:ascii="方正小标宋简体" w:hAnsi="方正小标宋简体" w:eastAsia="方正小标宋简体" w:cs="方正小标宋简体"/>
              <w:szCs w:val="44"/>
              <w:lang w:val="en-US" w:eastAsia="zh-CN"/>
            </w:rPr>
            <w:fldChar w:fldCharType="end"/>
          </w:r>
        </w:p>
        <w:p w14:paraId="1F7655BE">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_Toc31071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（二）</w:t>
          </w:r>
          <w:r>
            <w:rPr>
              <w:rFonts w:hint="eastAsia" w:ascii="楷体_GB2312" w:hAnsi="楷体_GB2312" w:eastAsia="楷体_GB2312" w:cs="楷体_GB2312"/>
              <w:bCs/>
              <w:szCs w:val="32"/>
              <w:lang w:val="en-US" w:eastAsia="zh-CN"/>
            </w:rPr>
            <w:t>项目安全管理情况</w:t>
          </w:r>
          <w:r>
            <w:tab/>
          </w:r>
          <w:r>
            <w:fldChar w:fldCharType="begin"/>
          </w:r>
          <w:r>
            <w:instrText xml:space="preserve"> PAGEREF _Toc31071 \h </w:instrText>
          </w:r>
          <w:r>
            <w:fldChar w:fldCharType="separate"/>
          </w:r>
          <w:r>
            <w:t>3</w:t>
          </w:r>
          <w:r>
            <w:fldChar w:fldCharType="end"/>
          </w:r>
          <w:r>
            <w:rPr>
              <w:rFonts w:hint="eastAsia" w:ascii="方正小标宋简体" w:hAnsi="方正小标宋简体" w:eastAsia="方正小标宋简体" w:cs="方正小标宋简体"/>
              <w:szCs w:val="44"/>
              <w:lang w:val="en-US" w:eastAsia="zh-CN"/>
            </w:rPr>
            <w:fldChar w:fldCharType="end"/>
          </w:r>
        </w:p>
        <w:p w14:paraId="0DF7B015">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_Toc10912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（三）事故发生经过</w:t>
          </w:r>
          <w:r>
            <w:tab/>
          </w:r>
          <w:r>
            <w:fldChar w:fldCharType="begin"/>
          </w:r>
          <w:r>
            <w:instrText xml:space="preserve"> PAGEREF _Toc10912 \h </w:instrText>
          </w:r>
          <w:r>
            <w:fldChar w:fldCharType="separate"/>
          </w:r>
          <w:r>
            <w:t>5</w:t>
          </w:r>
          <w:r>
            <w:fldChar w:fldCharType="end"/>
          </w:r>
          <w:r>
            <w:rPr>
              <w:rFonts w:hint="eastAsia" w:ascii="方正小标宋简体" w:hAnsi="方正小标宋简体" w:eastAsia="方正小标宋简体" w:cs="方正小标宋简体"/>
              <w:szCs w:val="44"/>
              <w:lang w:val="en-US" w:eastAsia="zh-CN"/>
            </w:rPr>
            <w:fldChar w:fldCharType="end"/>
          </w:r>
        </w:p>
        <w:p w14:paraId="679B6D66">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_Toc27122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（四）事故现场情况</w:t>
          </w:r>
          <w:r>
            <w:tab/>
          </w:r>
          <w:r>
            <w:fldChar w:fldCharType="begin"/>
          </w:r>
          <w:r>
            <w:instrText xml:space="preserve"> PAGEREF _Toc27122 \h </w:instrText>
          </w:r>
          <w:r>
            <w:fldChar w:fldCharType="separate"/>
          </w:r>
          <w:r>
            <w:t>6</w:t>
          </w:r>
          <w:r>
            <w:fldChar w:fldCharType="end"/>
          </w:r>
          <w:r>
            <w:rPr>
              <w:rFonts w:hint="eastAsia" w:ascii="方正小标宋简体" w:hAnsi="方正小标宋简体" w:eastAsia="方正小标宋简体" w:cs="方正小标宋简体"/>
              <w:szCs w:val="44"/>
              <w:lang w:val="en-US" w:eastAsia="zh-CN"/>
            </w:rPr>
            <w:fldChar w:fldCharType="end"/>
          </w:r>
        </w:p>
        <w:p w14:paraId="61511880">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_Toc24811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（五）人员伤亡和直接经济损失情况</w:t>
          </w:r>
          <w:r>
            <w:tab/>
          </w:r>
          <w:r>
            <w:fldChar w:fldCharType="begin"/>
          </w:r>
          <w:r>
            <w:instrText xml:space="preserve"> PAGEREF _Toc24811 \h </w:instrText>
          </w:r>
          <w:r>
            <w:fldChar w:fldCharType="separate"/>
          </w:r>
          <w:r>
            <w:t>7</w:t>
          </w:r>
          <w:r>
            <w:fldChar w:fldCharType="end"/>
          </w:r>
          <w:r>
            <w:rPr>
              <w:rFonts w:hint="eastAsia" w:ascii="方正小标宋简体" w:hAnsi="方正小标宋简体" w:eastAsia="方正小标宋简体" w:cs="方正小标宋简体"/>
              <w:szCs w:val="44"/>
              <w:lang w:val="en-US" w:eastAsia="zh-CN"/>
            </w:rPr>
            <w:fldChar w:fldCharType="end"/>
          </w:r>
        </w:p>
        <w:p w14:paraId="28EDC851">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_Toc4772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（六）其他情况</w:t>
          </w:r>
          <w:r>
            <w:tab/>
          </w:r>
          <w:r>
            <w:fldChar w:fldCharType="begin"/>
          </w:r>
          <w:r>
            <w:instrText xml:space="preserve"> PAGEREF _Toc4772 \h </w:instrText>
          </w:r>
          <w:r>
            <w:fldChar w:fldCharType="separate"/>
          </w:r>
          <w:r>
            <w:t>7</w:t>
          </w:r>
          <w:r>
            <w:fldChar w:fldCharType="end"/>
          </w:r>
          <w:r>
            <w:rPr>
              <w:rFonts w:hint="eastAsia" w:ascii="方正小标宋简体" w:hAnsi="方正小标宋简体" w:eastAsia="方正小标宋简体" w:cs="方正小标宋简体"/>
              <w:szCs w:val="44"/>
              <w:lang w:val="en-US" w:eastAsia="zh-CN"/>
            </w:rPr>
            <w:fldChar w:fldCharType="end"/>
          </w:r>
        </w:p>
        <w:p w14:paraId="34FA4F4F">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_Toc22845 </w:instrText>
          </w:r>
          <w:r>
            <w:rPr>
              <w:rFonts w:hint="eastAsia" w:ascii="方正小标宋简体" w:hAnsi="方正小标宋简体" w:eastAsia="方正小标宋简体" w:cs="方正小标宋简体"/>
              <w:szCs w:val="44"/>
              <w:lang w:val="en-US" w:eastAsia="zh-CN"/>
            </w:rPr>
            <w:fldChar w:fldCharType="separate"/>
          </w:r>
          <w:r>
            <w:rPr>
              <w:rFonts w:hint="eastAsia" w:ascii="黑体" w:hAnsi="黑体" w:eastAsia="黑体" w:cs="黑体"/>
              <w:bCs/>
              <w:szCs w:val="32"/>
              <w:lang w:val="en-US" w:eastAsia="zh-CN"/>
            </w:rPr>
            <w:t>二、 事故应急处置及评估情况</w:t>
          </w:r>
          <w:r>
            <w:tab/>
          </w:r>
          <w:r>
            <w:fldChar w:fldCharType="begin"/>
          </w:r>
          <w:r>
            <w:instrText xml:space="preserve"> PAGEREF _Toc22845 \h </w:instrText>
          </w:r>
          <w:r>
            <w:fldChar w:fldCharType="separate"/>
          </w:r>
          <w:r>
            <w:t>8</w:t>
          </w:r>
          <w:r>
            <w:fldChar w:fldCharType="end"/>
          </w:r>
          <w:r>
            <w:rPr>
              <w:rFonts w:hint="eastAsia" w:ascii="方正小标宋简体" w:hAnsi="方正小标宋简体" w:eastAsia="方正小标宋简体" w:cs="方正小标宋简体"/>
              <w:szCs w:val="44"/>
              <w:lang w:val="en-US" w:eastAsia="zh-CN"/>
            </w:rPr>
            <w:fldChar w:fldCharType="end"/>
          </w:r>
        </w:p>
        <w:p w14:paraId="7B0AB5D2">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_Toc21271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（一）事故信息接报及响应情况</w:t>
          </w:r>
          <w:r>
            <w:tab/>
          </w:r>
          <w:r>
            <w:fldChar w:fldCharType="begin"/>
          </w:r>
          <w:r>
            <w:instrText xml:space="preserve"> PAGEREF _Toc21271 \h </w:instrText>
          </w:r>
          <w:r>
            <w:fldChar w:fldCharType="separate"/>
          </w:r>
          <w:r>
            <w:t>8</w:t>
          </w:r>
          <w:r>
            <w:fldChar w:fldCharType="end"/>
          </w:r>
          <w:r>
            <w:rPr>
              <w:rFonts w:hint="eastAsia" w:ascii="方正小标宋简体" w:hAnsi="方正小标宋简体" w:eastAsia="方正小标宋简体" w:cs="方正小标宋简体"/>
              <w:szCs w:val="44"/>
              <w:lang w:val="en-US" w:eastAsia="zh-CN"/>
            </w:rPr>
            <w:fldChar w:fldCharType="end"/>
          </w:r>
        </w:p>
        <w:p w14:paraId="246DEDB6">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_Toc6600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（二）事故现场应急处置情况</w:t>
          </w:r>
          <w:r>
            <w:tab/>
          </w:r>
          <w:r>
            <w:fldChar w:fldCharType="begin"/>
          </w:r>
          <w:r>
            <w:instrText xml:space="preserve"> PAGEREF _Toc6600 \h </w:instrText>
          </w:r>
          <w:r>
            <w:fldChar w:fldCharType="separate"/>
          </w:r>
          <w:r>
            <w:t>9</w:t>
          </w:r>
          <w:r>
            <w:fldChar w:fldCharType="end"/>
          </w:r>
          <w:r>
            <w:rPr>
              <w:rFonts w:hint="eastAsia" w:ascii="方正小标宋简体" w:hAnsi="方正小标宋简体" w:eastAsia="方正小标宋简体" w:cs="方正小标宋简体"/>
              <w:szCs w:val="44"/>
              <w:lang w:val="en-US" w:eastAsia="zh-CN"/>
            </w:rPr>
            <w:fldChar w:fldCharType="end"/>
          </w:r>
        </w:p>
        <w:p w14:paraId="5BE81083">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_Toc4454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（三）医疗救治和善后情况</w:t>
          </w:r>
          <w:r>
            <w:tab/>
          </w:r>
          <w:r>
            <w:fldChar w:fldCharType="begin"/>
          </w:r>
          <w:r>
            <w:instrText xml:space="preserve"> PAGEREF _Toc4454 \h </w:instrText>
          </w:r>
          <w:r>
            <w:fldChar w:fldCharType="separate"/>
          </w:r>
          <w:r>
            <w:t>9</w:t>
          </w:r>
          <w:r>
            <w:fldChar w:fldCharType="end"/>
          </w:r>
          <w:r>
            <w:rPr>
              <w:rFonts w:hint="eastAsia" w:ascii="方正小标宋简体" w:hAnsi="方正小标宋简体" w:eastAsia="方正小标宋简体" w:cs="方正小标宋简体"/>
              <w:szCs w:val="44"/>
              <w:lang w:val="en-US" w:eastAsia="zh-CN"/>
            </w:rPr>
            <w:fldChar w:fldCharType="end"/>
          </w:r>
        </w:p>
        <w:p w14:paraId="4E856BB3">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_Toc20008 </w:instrText>
          </w:r>
          <w:r>
            <w:rPr>
              <w:rFonts w:hint="eastAsia" w:ascii="方正小标宋简体" w:hAnsi="方正小标宋简体" w:eastAsia="方正小标宋简体" w:cs="方正小标宋简体"/>
              <w:szCs w:val="44"/>
              <w:lang w:val="en-US" w:eastAsia="zh-CN"/>
            </w:rPr>
            <w:fldChar w:fldCharType="separate"/>
          </w:r>
          <w:r>
            <w:rPr>
              <w:rFonts w:hint="eastAsia" w:ascii="黑体" w:hAnsi="黑体" w:eastAsia="黑体" w:cs="黑体"/>
              <w:bCs/>
              <w:szCs w:val="32"/>
              <w:lang w:val="en-US" w:eastAsia="zh-CN"/>
            </w:rPr>
            <w:t>三、 事故原因分析</w:t>
          </w:r>
          <w:r>
            <w:tab/>
          </w:r>
          <w:r>
            <w:fldChar w:fldCharType="begin"/>
          </w:r>
          <w:r>
            <w:instrText xml:space="preserve"> PAGEREF _Toc20008 \h </w:instrText>
          </w:r>
          <w:r>
            <w:fldChar w:fldCharType="separate"/>
          </w:r>
          <w:r>
            <w:t>10</w:t>
          </w:r>
          <w:r>
            <w:fldChar w:fldCharType="end"/>
          </w:r>
          <w:r>
            <w:rPr>
              <w:rFonts w:hint="eastAsia" w:ascii="方正小标宋简体" w:hAnsi="方正小标宋简体" w:eastAsia="方正小标宋简体" w:cs="方正小标宋简体"/>
              <w:szCs w:val="44"/>
              <w:lang w:val="en-US" w:eastAsia="zh-CN"/>
            </w:rPr>
            <w:fldChar w:fldCharType="end"/>
          </w:r>
        </w:p>
        <w:p w14:paraId="478BB7ED">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_Toc22786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（一）直接原因分析</w:t>
          </w:r>
          <w:r>
            <w:tab/>
          </w:r>
          <w:r>
            <w:fldChar w:fldCharType="begin"/>
          </w:r>
          <w:r>
            <w:instrText xml:space="preserve"> PAGEREF _Toc22786 \h </w:instrText>
          </w:r>
          <w:r>
            <w:fldChar w:fldCharType="separate"/>
          </w:r>
          <w:r>
            <w:t>10</w:t>
          </w:r>
          <w:r>
            <w:fldChar w:fldCharType="end"/>
          </w:r>
          <w:r>
            <w:rPr>
              <w:rFonts w:hint="eastAsia" w:ascii="方正小标宋简体" w:hAnsi="方正小标宋简体" w:eastAsia="方正小标宋简体" w:cs="方正小标宋简体"/>
              <w:szCs w:val="44"/>
              <w:lang w:val="en-US" w:eastAsia="zh-CN"/>
            </w:rPr>
            <w:fldChar w:fldCharType="end"/>
          </w:r>
        </w:p>
        <w:p w14:paraId="0F1ED51B">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_Toc12608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（二）间接原因分析</w:t>
          </w:r>
          <w:r>
            <w:tab/>
          </w:r>
          <w:r>
            <w:fldChar w:fldCharType="begin"/>
          </w:r>
          <w:r>
            <w:instrText xml:space="preserve"> PAGEREF _Toc12608 \h </w:instrText>
          </w:r>
          <w:r>
            <w:fldChar w:fldCharType="separate"/>
          </w:r>
          <w:r>
            <w:t>10</w:t>
          </w:r>
          <w:r>
            <w:fldChar w:fldCharType="end"/>
          </w:r>
          <w:r>
            <w:rPr>
              <w:rFonts w:hint="eastAsia" w:ascii="方正小标宋简体" w:hAnsi="方正小标宋简体" w:eastAsia="方正小标宋简体" w:cs="方正小标宋简体"/>
              <w:szCs w:val="44"/>
              <w:lang w:val="en-US" w:eastAsia="zh-CN"/>
            </w:rPr>
            <w:fldChar w:fldCharType="end"/>
          </w:r>
        </w:p>
        <w:p w14:paraId="70A69467">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_Toc18835 </w:instrText>
          </w:r>
          <w:r>
            <w:rPr>
              <w:rFonts w:hint="eastAsia" w:ascii="方正小标宋简体" w:hAnsi="方正小标宋简体" w:eastAsia="方正小标宋简体" w:cs="方正小标宋简体"/>
              <w:szCs w:val="44"/>
              <w:lang w:val="en-US" w:eastAsia="zh-CN"/>
            </w:rPr>
            <w:fldChar w:fldCharType="separate"/>
          </w:r>
          <w:r>
            <w:rPr>
              <w:rFonts w:hint="eastAsia" w:ascii="黑体" w:hAnsi="黑体" w:eastAsia="黑体" w:cs="黑体"/>
              <w:bCs/>
              <w:szCs w:val="32"/>
              <w:lang w:val="en-US" w:eastAsia="zh-CN"/>
            </w:rPr>
            <w:t>四、 有关责任单位存在的主要问题</w:t>
          </w:r>
          <w:r>
            <w:tab/>
          </w:r>
          <w:r>
            <w:fldChar w:fldCharType="begin"/>
          </w:r>
          <w:r>
            <w:instrText xml:space="preserve"> PAGEREF _Toc18835 \h </w:instrText>
          </w:r>
          <w:r>
            <w:fldChar w:fldCharType="separate"/>
          </w:r>
          <w:r>
            <w:t>10</w:t>
          </w:r>
          <w:r>
            <w:fldChar w:fldCharType="end"/>
          </w:r>
          <w:r>
            <w:rPr>
              <w:rFonts w:hint="eastAsia" w:ascii="方正小标宋简体" w:hAnsi="方正小标宋简体" w:eastAsia="方正小标宋简体" w:cs="方正小标宋简体"/>
              <w:szCs w:val="44"/>
              <w:lang w:val="en-US" w:eastAsia="zh-CN"/>
            </w:rPr>
            <w:fldChar w:fldCharType="end"/>
          </w:r>
        </w:p>
        <w:p w14:paraId="0C8BB216">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_Toc15143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（一）事故单位存在的问题</w:t>
          </w:r>
          <w:r>
            <w:tab/>
          </w:r>
          <w:r>
            <w:fldChar w:fldCharType="begin"/>
          </w:r>
          <w:r>
            <w:instrText xml:space="preserve"> PAGEREF _Toc15143 \h </w:instrText>
          </w:r>
          <w:r>
            <w:fldChar w:fldCharType="separate"/>
          </w:r>
          <w:r>
            <w:t>10</w:t>
          </w:r>
          <w:r>
            <w:fldChar w:fldCharType="end"/>
          </w:r>
          <w:r>
            <w:rPr>
              <w:rFonts w:hint="eastAsia" w:ascii="方正小标宋简体" w:hAnsi="方正小标宋简体" w:eastAsia="方正小标宋简体" w:cs="方正小标宋简体"/>
              <w:szCs w:val="44"/>
              <w:lang w:val="en-US" w:eastAsia="zh-CN"/>
            </w:rPr>
            <w:fldChar w:fldCharType="end"/>
          </w:r>
        </w:p>
        <w:p w14:paraId="5A3E8CB9">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_Toc7603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（二）有关人员存在的问题</w:t>
          </w:r>
          <w:r>
            <w:tab/>
          </w:r>
          <w:r>
            <w:fldChar w:fldCharType="begin"/>
          </w:r>
          <w:r>
            <w:instrText xml:space="preserve"> PAGEREF _Toc7603 \h </w:instrText>
          </w:r>
          <w:r>
            <w:fldChar w:fldCharType="separate"/>
          </w:r>
          <w:r>
            <w:t>11</w:t>
          </w:r>
          <w:r>
            <w:fldChar w:fldCharType="end"/>
          </w:r>
          <w:r>
            <w:rPr>
              <w:rFonts w:hint="eastAsia" w:ascii="方正小标宋简体" w:hAnsi="方正小标宋简体" w:eastAsia="方正小标宋简体" w:cs="方正小标宋简体"/>
              <w:szCs w:val="44"/>
              <w:lang w:val="en-US" w:eastAsia="zh-CN"/>
            </w:rPr>
            <w:fldChar w:fldCharType="end"/>
          </w:r>
        </w:p>
        <w:p w14:paraId="0AA665D7">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_Toc23396 </w:instrText>
          </w:r>
          <w:r>
            <w:rPr>
              <w:rFonts w:hint="eastAsia" w:ascii="方正小标宋简体" w:hAnsi="方正小标宋简体" w:eastAsia="方正小标宋简体" w:cs="方正小标宋简体"/>
              <w:szCs w:val="44"/>
              <w:lang w:val="en-US" w:eastAsia="zh-CN"/>
            </w:rPr>
            <w:fldChar w:fldCharType="separate"/>
          </w:r>
          <w:r>
            <w:rPr>
              <w:rFonts w:hint="eastAsia" w:ascii="黑体" w:hAnsi="黑体" w:eastAsia="黑体" w:cs="黑体"/>
              <w:bCs/>
              <w:szCs w:val="32"/>
              <w:lang w:val="en-US" w:eastAsia="zh-CN"/>
            </w:rPr>
            <w:t>五、 对有关责任人员和责任单位的处理建议</w:t>
          </w:r>
          <w:r>
            <w:tab/>
          </w:r>
          <w:r>
            <w:fldChar w:fldCharType="begin"/>
          </w:r>
          <w:r>
            <w:instrText xml:space="preserve"> PAGEREF _Toc23396 \h </w:instrText>
          </w:r>
          <w:r>
            <w:fldChar w:fldCharType="separate"/>
          </w:r>
          <w:r>
            <w:t>12</w:t>
          </w:r>
          <w:r>
            <w:fldChar w:fldCharType="end"/>
          </w:r>
          <w:r>
            <w:rPr>
              <w:rFonts w:hint="eastAsia" w:ascii="方正小标宋简体" w:hAnsi="方正小标宋简体" w:eastAsia="方正小标宋简体" w:cs="方正小标宋简体"/>
              <w:szCs w:val="44"/>
              <w:lang w:val="en-US" w:eastAsia="zh-CN"/>
            </w:rPr>
            <w:fldChar w:fldCharType="end"/>
          </w:r>
        </w:p>
        <w:p w14:paraId="2E0A36BB">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_Toc4292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（一）对事故有关责任人员的处理建议</w:t>
          </w:r>
          <w:r>
            <w:tab/>
          </w:r>
          <w:r>
            <w:fldChar w:fldCharType="begin"/>
          </w:r>
          <w:r>
            <w:instrText xml:space="preserve"> PAGEREF _Toc4292 \h </w:instrText>
          </w:r>
          <w:r>
            <w:fldChar w:fldCharType="separate"/>
          </w:r>
          <w:r>
            <w:t>12</w:t>
          </w:r>
          <w:r>
            <w:fldChar w:fldCharType="end"/>
          </w:r>
          <w:r>
            <w:rPr>
              <w:rFonts w:hint="eastAsia" w:ascii="方正小标宋简体" w:hAnsi="方正小标宋简体" w:eastAsia="方正小标宋简体" w:cs="方正小标宋简体"/>
              <w:szCs w:val="44"/>
              <w:lang w:val="en-US" w:eastAsia="zh-CN"/>
            </w:rPr>
            <w:fldChar w:fldCharType="end"/>
          </w:r>
        </w:p>
        <w:p w14:paraId="3B943D81">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_Toc25646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（二）对事故有关责任单位的处理建议</w:t>
          </w:r>
          <w:r>
            <w:tab/>
          </w:r>
          <w:r>
            <w:fldChar w:fldCharType="begin"/>
          </w:r>
          <w:r>
            <w:instrText xml:space="preserve"> PAGEREF _Toc25646 \h </w:instrText>
          </w:r>
          <w:r>
            <w:fldChar w:fldCharType="separate"/>
          </w:r>
          <w:r>
            <w:t>12</w:t>
          </w:r>
          <w:r>
            <w:fldChar w:fldCharType="end"/>
          </w:r>
          <w:r>
            <w:rPr>
              <w:rFonts w:hint="eastAsia" w:ascii="方正小标宋简体" w:hAnsi="方正小标宋简体" w:eastAsia="方正小标宋简体" w:cs="方正小标宋简体"/>
              <w:szCs w:val="44"/>
              <w:lang w:val="en-US" w:eastAsia="zh-CN"/>
            </w:rPr>
            <w:fldChar w:fldCharType="end"/>
          </w:r>
        </w:p>
        <w:p w14:paraId="262FB8C7">
          <w:pPr>
            <w:pStyle w:val="8"/>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_Toc3638 </w:instrText>
          </w:r>
          <w:r>
            <w:rPr>
              <w:rFonts w:hint="eastAsia" w:ascii="方正小标宋简体" w:hAnsi="方正小标宋简体" w:eastAsia="方正小标宋简体" w:cs="方正小标宋简体"/>
              <w:szCs w:val="44"/>
              <w:lang w:val="en-US" w:eastAsia="zh-CN"/>
            </w:rPr>
            <w:fldChar w:fldCharType="separate"/>
          </w:r>
          <w:r>
            <w:rPr>
              <w:rFonts w:hint="eastAsia" w:ascii="黑体" w:hAnsi="黑体" w:eastAsia="黑体" w:cs="黑体"/>
              <w:bCs/>
              <w:szCs w:val="32"/>
              <w:lang w:val="en-US" w:eastAsia="zh-CN"/>
            </w:rPr>
            <w:t>六、 事故整改和防范措施</w:t>
          </w:r>
          <w:r>
            <w:tab/>
          </w:r>
          <w:r>
            <w:fldChar w:fldCharType="begin"/>
          </w:r>
          <w:r>
            <w:instrText xml:space="preserve"> PAGEREF _Toc3638 \h </w:instrText>
          </w:r>
          <w:r>
            <w:fldChar w:fldCharType="separate"/>
          </w:r>
          <w:r>
            <w:t>13</w:t>
          </w:r>
          <w:r>
            <w:fldChar w:fldCharType="end"/>
          </w:r>
          <w:r>
            <w:rPr>
              <w:rFonts w:hint="eastAsia" w:ascii="方正小标宋简体" w:hAnsi="方正小标宋简体" w:eastAsia="方正小标宋简体" w:cs="方正小标宋简体"/>
              <w:szCs w:val="44"/>
              <w:lang w:val="en-US" w:eastAsia="zh-CN"/>
            </w:rPr>
            <w:fldChar w:fldCharType="end"/>
          </w:r>
        </w:p>
        <w:p w14:paraId="7169AE91">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_Toc1987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（一）</w:t>
          </w:r>
          <w:r>
            <w:rPr>
              <w:rFonts w:hint="default" w:ascii="楷体_GB2312" w:hAnsi="楷体_GB2312" w:eastAsia="楷体_GB2312" w:cs="楷体_GB2312"/>
              <w:bCs/>
              <w:kern w:val="2"/>
              <w:szCs w:val="32"/>
              <w:lang w:val="en-US" w:eastAsia="zh-CN" w:bidi="ar-SA"/>
            </w:rPr>
            <w:t>时刻警钟长鸣，压紧压实安全生产责任</w:t>
          </w:r>
          <w:r>
            <w:tab/>
          </w:r>
          <w:r>
            <w:fldChar w:fldCharType="begin"/>
          </w:r>
          <w:r>
            <w:instrText xml:space="preserve"> PAGEREF _Toc1987 \h </w:instrText>
          </w:r>
          <w:r>
            <w:fldChar w:fldCharType="separate"/>
          </w:r>
          <w:r>
            <w:t>13</w:t>
          </w:r>
          <w:r>
            <w:fldChar w:fldCharType="end"/>
          </w:r>
          <w:r>
            <w:rPr>
              <w:rFonts w:hint="eastAsia" w:ascii="方正小标宋简体" w:hAnsi="方正小标宋简体" w:eastAsia="方正小标宋简体" w:cs="方正小标宋简体"/>
              <w:szCs w:val="44"/>
              <w:lang w:val="en-US" w:eastAsia="zh-CN"/>
            </w:rPr>
            <w:fldChar w:fldCharType="end"/>
          </w:r>
        </w:p>
        <w:p w14:paraId="7F8B2016">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_Toc4066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（二）</w:t>
          </w:r>
          <w:r>
            <w:rPr>
              <w:rFonts w:hint="default" w:ascii="楷体_GB2312" w:hAnsi="楷体_GB2312" w:eastAsia="楷体_GB2312" w:cs="楷体_GB2312"/>
              <w:bCs/>
              <w:kern w:val="2"/>
              <w:szCs w:val="32"/>
              <w:lang w:val="en-US" w:eastAsia="zh-CN" w:bidi="ar-SA"/>
            </w:rPr>
            <w:t>坚持问题导向，切实加强事故暴露问题整改</w:t>
          </w:r>
          <w:r>
            <w:tab/>
          </w:r>
          <w:r>
            <w:fldChar w:fldCharType="begin"/>
          </w:r>
          <w:r>
            <w:instrText xml:space="preserve"> PAGEREF _Toc4066 \h </w:instrText>
          </w:r>
          <w:r>
            <w:fldChar w:fldCharType="separate"/>
          </w:r>
          <w:r>
            <w:t>14</w:t>
          </w:r>
          <w:r>
            <w:fldChar w:fldCharType="end"/>
          </w:r>
          <w:r>
            <w:rPr>
              <w:rFonts w:hint="eastAsia" w:ascii="方正小标宋简体" w:hAnsi="方正小标宋简体" w:eastAsia="方正小标宋简体" w:cs="方正小标宋简体"/>
              <w:szCs w:val="44"/>
              <w:lang w:val="en-US" w:eastAsia="zh-CN"/>
            </w:rPr>
            <w:fldChar w:fldCharType="end"/>
          </w:r>
        </w:p>
        <w:p w14:paraId="60586717">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_Toc17953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（三）举一反三，督促企业落实隐患排查治理</w:t>
          </w:r>
          <w:r>
            <w:tab/>
          </w:r>
          <w:r>
            <w:fldChar w:fldCharType="begin"/>
          </w:r>
          <w:r>
            <w:instrText xml:space="preserve"> PAGEREF _Toc17953 \h </w:instrText>
          </w:r>
          <w:r>
            <w:fldChar w:fldCharType="separate"/>
          </w:r>
          <w:r>
            <w:t>14</w:t>
          </w:r>
          <w:r>
            <w:fldChar w:fldCharType="end"/>
          </w:r>
          <w:r>
            <w:rPr>
              <w:rFonts w:hint="eastAsia" w:ascii="方正小标宋简体" w:hAnsi="方正小标宋简体" w:eastAsia="方正小标宋简体" w:cs="方正小标宋简体"/>
              <w:szCs w:val="44"/>
              <w:lang w:val="en-US" w:eastAsia="zh-CN"/>
            </w:rPr>
            <w:fldChar w:fldCharType="end"/>
          </w:r>
        </w:p>
        <w:p w14:paraId="3948D508">
          <w:pPr>
            <w:pStyle w:val="10"/>
            <w:tabs>
              <w:tab w:val="right" w:leader="dot" w:pos="8902"/>
            </w:tabs>
          </w:pPr>
          <w:r>
            <w:rPr>
              <w:rFonts w:hint="eastAsia" w:ascii="方正小标宋简体" w:hAnsi="方正小标宋简体" w:eastAsia="方正小标宋简体" w:cs="方正小标宋简体"/>
              <w:szCs w:val="44"/>
              <w:lang w:val="en-US" w:eastAsia="zh-CN"/>
            </w:rPr>
            <w:fldChar w:fldCharType="begin"/>
          </w:r>
          <w:r>
            <w:rPr>
              <w:rFonts w:hint="eastAsia" w:ascii="方正小标宋简体" w:hAnsi="方正小标宋简体" w:eastAsia="方正小标宋简体" w:cs="方正小标宋简体"/>
              <w:szCs w:val="44"/>
              <w:lang w:val="en-US" w:eastAsia="zh-CN"/>
            </w:rPr>
            <w:instrText xml:space="preserve"> HYPERLINK \l _Toc28861 </w:instrText>
          </w:r>
          <w:r>
            <w:rPr>
              <w:rFonts w:hint="eastAsia" w:ascii="方正小标宋简体" w:hAnsi="方正小标宋简体" w:eastAsia="方正小标宋简体" w:cs="方正小标宋简体"/>
              <w:szCs w:val="44"/>
              <w:lang w:val="en-US" w:eastAsia="zh-CN"/>
            </w:rPr>
            <w:fldChar w:fldCharType="separate"/>
          </w:r>
          <w:r>
            <w:rPr>
              <w:rFonts w:hint="eastAsia" w:ascii="楷体_GB2312" w:hAnsi="楷体_GB2312" w:eastAsia="楷体_GB2312" w:cs="楷体_GB2312"/>
              <w:bCs/>
              <w:kern w:val="2"/>
              <w:szCs w:val="32"/>
              <w:lang w:val="en-US" w:eastAsia="zh-CN" w:bidi="ar-SA"/>
            </w:rPr>
            <w:t>（四）强化事故报告制度落实</w:t>
          </w:r>
          <w:r>
            <w:tab/>
          </w:r>
          <w:r>
            <w:fldChar w:fldCharType="begin"/>
          </w:r>
          <w:r>
            <w:instrText xml:space="preserve"> PAGEREF _Toc28861 \h </w:instrText>
          </w:r>
          <w:r>
            <w:fldChar w:fldCharType="separate"/>
          </w:r>
          <w:r>
            <w:t>15</w:t>
          </w:r>
          <w:r>
            <w:fldChar w:fldCharType="end"/>
          </w:r>
          <w:r>
            <w:rPr>
              <w:rFonts w:hint="eastAsia" w:ascii="方正小标宋简体" w:hAnsi="方正小标宋简体" w:eastAsia="方正小标宋简体" w:cs="方正小标宋简体"/>
              <w:szCs w:val="44"/>
              <w:lang w:val="en-US" w:eastAsia="zh-CN"/>
            </w:rPr>
            <w:fldChar w:fldCharType="end"/>
          </w:r>
        </w:p>
        <w:p w14:paraId="5DA5ECE0">
          <w:pPr>
            <w:keepNext w:val="0"/>
            <w:keepLines w:val="0"/>
            <w:pageBreakBefore w:val="0"/>
            <w:widowControl w:val="0"/>
            <w:kinsoku/>
            <w:wordWrap/>
            <w:topLinePunct w:val="0"/>
            <w:bidi w:val="0"/>
            <w:spacing w:before="0" w:beforeLines="0" w:after="0" w:afterLines="0" w:line="56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Cs w:val="44"/>
              <w:lang w:val="en-US" w:eastAsia="zh-CN"/>
            </w:rPr>
            <w:fldChar w:fldCharType="end"/>
          </w:r>
        </w:p>
      </w:sdtContent>
    </w:sdt>
    <w:p w14:paraId="6F99CAFB">
      <w:pPr>
        <w:keepNext w:val="0"/>
        <w:keepLines w:val="0"/>
        <w:pageBreakBefore w:val="0"/>
        <w:widowControl w:val="0"/>
        <w:kinsoku/>
        <w:wordWrap/>
        <w:topLinePunct w:val="0"/>
        <w:bidi w:val="0"/>
        <w:spacing w:line="560" w:lineRule="exact"/>
        <w:textAlignment w:val="auto"/>
        <w:rPr>
          <w:rFonts w:hint="eastAsia" w:ascii="方正小标宋简体" w:hAnsi="方正小标宋简体" w:eastAsia="方正小标宋简体" w:cs="方正小标宋简体"/>
          <w:sz w:val="44"/>
          <w:szCs w:val="44"/>
          <w:lang w:val="en-US" w:eastAsia="zh-CN"/>
        </w:rPr>
      </w:pPr>
    </w:p>
    <w:p w14:paraId="770DFD25">
      <w:pPr>
        <w:pStyle w:val="12"/>
        <w:keepNext w:val="0"/>
        <w:keepLines w:val="0"/>
        <w:pageBreakBefore w:val="0"/>
        <w:widowControl w:val="0"/>
        <w:kinsoku/>
        <w:wordWrap/>
        <w:topLinePunct w:val="0"/>
        <w:bidi w:val="0"/>
        <w:spacing w:line="560" w:lineRule="exact"/>
        <w:textAlignment w:val="auto"/>
        <w:rPr>
          <w:rFonts w:hint="eastAsia"/>
          <w:lang w:val="en-US" w:eastAsia="zh-CN"/>
        </w:rPr>
      </w:pPr>
    </w:p>
    <w:p w14:paraId="5688C0B4">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pPr>
    </w:p>
    <w:p w14:paraId="3BF8EC02">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val="en-US" w:eastAsia="zh-CN"/>
        </w:rPr>
        <w:sectPr>
          <w:footerReference r:id="rId4" w:type="default"/>
          <w:pgSz w:w="11906" w:h="16838"/>
          <w:pgMar w:top="2098" w:right="1417" w:bottom="1984" w:left="1587" w:header="851" w:footer="992" w:gutter="0"/>
          <w:pgNumType w:fmt="decimal" w:start="1"/>
          <w:cols w:space="0" w:num="1"/>
          <w:rtlGutter w:val="0"/>
          <w:docGrid w:type="lines" w:linePitch="312" w:charSpace="0"/>
        </w:sectPr>
      </w:pPr>
    </w:p>
    <w:p w14:paraId="7E1704C8">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2024年5月30日，江汉区应急管理局收到举报人实名举报江汉区万松街道长投云玺项目一期一标段2021年10月29日发生一起高坠亡人事故。</w:t>
      </w:r>
    </w:p>
    <w:p w14:paraId="3360905E">
      <w:pPr>
        <w:keepNext w:val="0"/>
        <w:keepLines w:val="0"/>
        <w:pageBreakBefore w:val="0"/>
        <w:widowControl w:val="0"/>
        <w:kinsoku/>
        <w:wordWrap/>
        <w:overflowPunct w:val="0"/>
        <w:topLinePunct w:val="0"/>
        <w:autoSpaceDE/>
        <w:autoSpaceDN/>
        <w:bidi w:val="0"/>
        <w:adjustRightInd w:val="0"/>
        <w:snapToGrid w:val="0"/>
        <w:spacing w:line="56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江汉区应急管理局初步核实举报属实后，区委、区政府主要领导作出批示，要求做好事故调查及举报处置工作，严肃追究事故有关单位和人员责任，要深刻吸取事故教训，进一步加强安全生产管理，杜绝类似事故发生。</w:t>
      </w:r>
      <w:r>
        <w:rPr>
          <w:rFonts w:hint="eastAsia" w:ascii="仿宋_GB2312" w:hAnsi="仿宋_GB2312" w:eastAsia="仿宋_GB2312" w:cs="仿宋_GB2312"/>
          <w:kern w:val="0"/>
          <w:sz w:val="32"/>
          <w:szCs w:val="32"/>
          <w:lang w:val="en-US" w:eastAsia="zh-CN"/>
        </w:rPr>
        <w:t>经调查，2021年10月29日，湖北鑫佳铭和建设工程有限公司一名木工小工在长投云玺项目5#楼南侧F区负一层清理模板木方时，从被拆除防护盖板的洞口掉落至负二楼，</w:t>
      </w:r>
      <w:r>
        <w:rPr>
          <w:rFonts w:hint="eastAsia" w:ascii="仿宋_GB2312" w:hAnsi="仿宋_GB2312" w:eastAsia="仿宋_GB2312" w:cs="仿宋_GB2312"/>
          <w:sz w:val="32"/>
          <w:szCs w:val="32"/>
          <w:lang w:val="en-US" w:eastAsia="zh-CN"/>
        </w:rPr>
        <w:t>伤者经救治无效死亡。事故造成1人死亡，</w:t>
      </w:r>
      <w:r>
        <w:rPr>
          <w:rFonts w:hint="eastAsia" w:ascii="仿宋_GB2312" w:hAnsi="仿宋_GB2312" w:eastAsia="仿宋_GB2312" w:cs="仿宋_GB2312"/>
          <w:sz w:val="32"/>
          <w:szCs w:val="32"/>
        </w:rPr>
        <w:t>直接经济损失</w:t>
      </w:r>
      <w:r>
        <w:rPr>
          <w:rFonts w:hint="eastAsia" w:ascii="仿宋_GB2312" w:hAnsi="仿宋_GB2312" w:eastAsia="仿宋_GB2312" w:cs="仿宋_GB2312"/>
          <w:sz w:val="32"/>
          <w:szCs w:val="32"/>
          <w:lang w:eastAsia="zh-CN"/>
        </w:rPr>
        <w:t>约</w:t>
      </w:r>
      <w:r>
        <w:rPr>
          <w:rFonts w:hint="eastAsia" w:ascii="仿宋_GB2312" w:hAnsi="仿宋_GB2312" w:eastAsia="仿宋_GB2312" w:cs="仿宋_GB2312"/>
          <w:sz w:val="32"/>
          <w:szCs w:val="32"/>
          <w:lang w:val="en-US" w:eastAsia="zh-CN"/>
        </w:rPr>
        <w:t>210</w:t>
      </w:r>
      <w:r>
        <w:rPr>
          <w:rFonts w:hint="eastAsia" w:ascii="仿宋_GB2312" w:hAnsi="仿宋_GB2312" w:eastAsia="仿宋_GB2312" w:cs="仿宋_GB2312"/>
          <w:sz w:val="32"/>
          <w:szCs w:val="32"/>
        </w:rPr>
        <w:t>万元。</w:t>
      </w:r>
    </w:p>
    <w:p w14:paraId="09E9350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依据《中华人民共和国安全生产法》、《生产安全事故报告和调查处理条例》有关规定，江汉区人民政府依法成立了由区应急管理局牵头、江汉区公安分局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val="en-US" w:eastAsia="zh-CN"/>
        </w:rPr>
        <w:t>区住房和城市更新局、</w:t>
      </w:r>
      <w:r>
        <w:rPr>
          <w:rFonts w:hint="eastAsia" w:ascii="仿宋_GB2312" w:hAnsi="仿宋_GB2312" w:eastAsia="仿宋_GB2312" w:cs="仿宋_GB2312"/>
          <w:sz w:val="32"/>
          <w:szCs w:val="32"/>
        </w:rPr>
        <w:t>区总工会</w:t>
      </w:r>
      <w:r>
        <w:rPr>
          <w:rFonts w:hint="eastAsia" w:ascii="仿宋_GB2312" w:hAnsi="仿宋_GB2312" w:eastAsia="仿宋_GB2312" w:cs="仿宋_GB2312"/>
          <w:sz w:val="32"/>
          <w:szCs w:val="32"/>
          <w:lang w:eastAsia="zh-CN"/>
        </w:rPr>
        <w:t>、万松街道办事处</w:t>
      </w:r>
      <w:r>
        <w:rPr>
          <w:rFonts w:hint="eastAsia" w:ascii="仿宋_GB2312" w:hAnsi="仿宋_GB2312" w:eastAsia="仿宋_GB2312" w:cs="仿宋_GB2312"/>
          <w:sz w:val="32"/>
          <w:szCs w:val="32"/>
        </w:rPr>
        <w:t>组成的事故调查组，开展事故调查工作。事故调查组按照“科学严谨、依法依规、实事求是”和“四不放过”的原则，通过调查取证，人员询问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综合分析和集体论证，查明了事故发生的经过、原因、人员伤亡和直接经济损失情况，认定了事故性质</w:t>
      </w:r>
      <w:r>
        <w:rPr>
          <w:rFonts w:hint="eastAsia" w:ascii="仿宋_GB2312" w:hAnsi="仿宋_GB2312" w:eastAsia="仿宋_GB2312" w:cs="仿宋_GB2312"/>
          <w:sz w:val="32"/>
          <w:szCs w:val="32"/>
          <w:lang w:eastAsia="zh-CN"/>
        </w:rPr>
        <w:t>，提出了对有关责任人员和责任单位的处理建议，并针对事故原因及暴露出的问题，提出了事故防范措施。</w:t>
      </w:r>
    </w:p>
    <w:p w14:paraId="11480986">
      <w:pPr>
        <w:keepNext w:val="0"/>
        <w:keepLines w:val="0"/>
        <w:pageBreakBefore w:val="0"/>
        <w:widowControl w:val="0"/>
        <w:kinsoku/>
        <w:wordWrap/>
        <w:overflowPunct/>
        <w:topLinePunct w:val="0"/>
        <w:autoSpaceDE/>
        <w:autoSpaceDN/>
        <w:bidi w:val="0"/>
        <w:adjustRightInd/>
        <w:snapToGrid/>
        <w:spacing w:beforeAutospacing="0"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经调查认定，江汉万松湖北鑫佳铭和建设工程有限公司10•29一般高坠事故是一起因违反安全管理规定造成的一般生产安全责任事故，且存在瞒报行为。</w:t>
      </w:r>
    </w:p>
    <w:p w14:paraId="45A30CCB">
      <w:pPr>
        <w:pStyle w:val="1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19" w:name="_Toc9781"/>
      <w:r>
        <w:rPr>
          <w:rFonts w:hint="eastAsia" w:ascii="黑体" w:hAnsi="黑体" w:eastAsia="黑体" w:cs="黑体"/>
          <w:b/>
          <w:bCs/>
          <w:sz w:val="32"/>
          <w:szCs w:val="32"/>
          <w:lang w:val="en-US" w:eastAsia="zh-CN"/>
        </w:rPr>
        <w:t>事故基本情况</w:t>
      </w:r>
      <w:bookmarkEnd w:id="19"/>
    </w:p>
    <w:p w14:paraId="7D6CF2B0">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firstLine="643" w:firstLineChars="200"/>
        <w:textAlignment w:val="auto"/>
        <w:outlineLvl w:val="1"/>
        <w:rPr>
          <w:rFonts w:hint="eastAsia" w:ascii="楷体_GB2312" w:hAnsi="楷体_GB2312" w:eastAsia="楷体_GB2312" w:cs="楷体_GB2312"/>
          <w:b/>
          <w:bCs/>
          <w:sz w:val="32"/>
          <w:szCs w:val="32"/>
          <w:lang w:val="en-US" w:eastAsia="zh-CN"/>
        </w:rPr>
      </w:pPr>
      <w:bookmarkStart w:id="20" w:name="_Toc26546"/>
      <w:r>
        <w:rPr>
          <w:rFonts w:hint="eastAsia" w:ascii="楷体_GB2312" w:hAnsi="楷体_GB2312" w:eastAsia="楷体_GB2312" w:cs="楷体_GB2312"/>
          <w:b/>
          <w:bCs/>
          <w:kern w:val="2"/>
          <w:sz w:val="32"/>
          <w:szCs w:val="32"/>
          <w:lang w:val="en-US" w:eastAsia="zh-CN" w:bidi="ar-SA"/>
        </w:rPr>
        <w:t>（一）</w:t>
      </w:r>
      <w:r>
        <w:rPr>
          <w:rFonts w:hint="eastAsia" w:ascii="楷体_GB2312" w:hAnsi="楷体_GB2312" w:eastAsia="楷体_GB2312" w:cs="楷体_GB2312"/>
          <w:b/>
          <w:bCs/>
          <w:sz w:val="32"/>
          <w:szCs w:val="32"/>
          <w:lang w:val="en-US" w:eastAsia="zh-CN"/>
        </w:rPr>
        <w:t>事故发生单位及相关单位概况</w:t>
      </w:r>
      <w:bookmarkEnd w:id="20"/>
    </w:p>
    <w:p w14:paraId="1C25E48D">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default" w:hAnsi="仿宋_GB2312" w:cs="仿宋_GB2312"/>
          <w:sz w:val="32"/>
          <w:szCs w:val="32"/>
          <w:lang w:eastAsia="zh-CN"/>
        </w:rPr>
      </w:pPr>
      <w:r>
        <w:rPr>
          <w:rFonts w:hint="eastAsia"/>
          <w:b/>
          <w:bCs/>
          <w:lang w:val="en-US" w:eastAsia="zh-CN"/>
        </w:rPr>
        <w:t>1.湖北长投恒基置业有限公司。</w:t>
      </w:r>
      <w:r>
        <w:rPr>
          <w:rFonts w:hint="eastAsia" w:hAnsi="仿宋_GB2312" w:cs="仿宋_GB2312"/>
          <w:sz w:val="32"/>
          <w:szCs w:val="32"/>
          <w:lang w:val="en-US" w:eastAsia="zh-CN"/>
        </w:rPr>
        <w:t>湖北长投恒基置业有限公司 (以下简称湖北长投恒基) ，位于湖北省武汉市江汉区航空路90号航空路壹号19栋一层商8，成立于2014年，是一家以从事房地产业为主的企业。企业注册资本20000万人民币，实缴资本20000万人民币，系江汉区万松街长投云玺项目开发单位。</w:t>
      </w:r>
    </w:p>
    <w:p w14:paraId="058EC3F4">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hAnsi="仿宋_GB2312" w:cs="仿宋_GB2312"/>
          <w:sz w:val="32"/>
          <w:szCs w:val="32"/>
          <w:lang w:val="en-US" w:eastAsia="zh-CN"/>
        </w:rPr>
      </w:pPr>
      <w:r>
        <w:rPr>
          <w:rFonts w:hint="eastAsia"/>
          <w:b/>
          <w:bCs/>
          <w:lang w:val="en-US" w:eastAsia="zh-CN"/>
        </w:rPr>
        <w:t>2.中交一航局第二工程有限公司。</w:t>
      </w:r>
      <w:r>
        <w:rPr>
          <w:rFonts w:hint="eastAsia" w:hAnsi="仿宋_GB2312" w:cs="仿宋_GB2312"/>
          <w:sz w:val="32"/>
          <w:szCs w:val="32"/>
          <w:lang w:val="en-US" w:eastAsia="zh-CN"/>
        </w:rPr>
        <w:t>(以下简称中交一航局二公司) ，成立于1981年，位于山东省青岛市市南区福州南路16号，是一家以从事土木工程建筑业为主的企业。企业注册资本72662.23万人民币，实缴资本72662.23万人民币，公司具有建筑企业资质证书，证书编号：D137059259，有效期至2028年12月，资质类别及等级为建筑工程施工总承包一级、港口与航道工程施工总承包特级、钢结构工程专业承包一级。2020年7月至今，中交一航局第二工程有限公司承担了江汉区长投云玺项目A地块一标段总承包施工。</w:t>
      </w:r>
    </w:p>
    <w:p w14:paraId="106FF8CB">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hAnsi="仿宋_GB2312" w:cs="仿宋_GB2312"/>
          <w:sz w:val="32"/>
          <w:szCs w:val="32"/>
          <w:lang w:val="en-US" w:eastAsia="zh-CN"/>
        </w:rPr>
      </w:pPr>
      <w:r>
        <w:rPr>
          <w:rFonts w:hint="eastAsia" w:ascii="仿宋_GB2312" w:hAnsi="Calibri" w:eastAsia="仿宋_GB2312" w:cstheme="minorBidi"/>
          <w:b/>
          <w:bCs/>
          <w:color w:val="000000"/>
          <w:kern w:val="2"/>
          <w:sz w:val="32"/>
          <w:szCs w:val="22"/>
          <w:lang w:val="en-US" w:eastAsia="zh-CN" w:bidi="ar-SA"/>
        </w:rPr>
        <w:t>3.</w:t>
      </w:r>
      <w:r>
        <w:rPr>
          <w:rFonts w:hint="eastAsia" w:cstheme="minorBidi"/>
          <w:b/>
          <w:bCs/>
          <w:color w:val="000000"/>
          <w:kern w:val="2"/>
          <w:sz w:val="32"/>
          <w:szCs w:val="22"/>
          <w:lang w:val="en-US" w:eastAsia="zh-CN" w:bidi="ar-SA"/>
        </w:rPr>
        <w:t>湖北鑫佳铭和建设工程有限公司。</w:t>
      </w:r>
      <w:r>
        <w:rPr>
          <w:rFonts w:hint="eastAsia" w:hAnsi="仿宋_GB2312" w:cs="仿宋_GB2312"/>
          <w:sz w:val="32"/>
          <w:szCs w:val="32"/>
          <w:lang w:val="en-US" w:eastAsia="zh-CN"/>
        </w:rPr>
        <w:t>湖北鑫佳铭和建设工程有限公司（以下简称湖北鑫佳铭和），成立于2020年，位于武汉市东西湖区长青街联盟路北、高桥南六路西2号厂房1-2层第2层2-29，是一家以从事土木工程建筑业为主的企业，企业注册资本1000万人民币。公司具有建筑企业资质证书，证书编号：D342318846，有效期至2025年7月，资质类别及等级为模板脚手架专业承包不分等级、施工劳务资质不分等级。2021年至2023年期间，承担江汉区长投云玺项目3#、5#、19#楼建筑结构施工。</w:t>
      </w:r>
    </w:p>
    <w:p w14:paraId="354B4450">
      <w:pPr>
        <w:ind w:firstLine="643" w:firstLineChars="200"/>
        <w:rPr>
          <w:rFonts w:hint="eastAsia"/>
          <w:lang w:val="en-US" w:eastAsia="zh-CN"/>
        </w:rPr>
      </w:pPr>
      <w:r>
        <w:rPr>
          <w:rFonts w:hint="eastAsia" w:ascii="仿宋_GB2312" w:hAnsi="Calibri" w:eastAsia="仿宋_GB2312" w:cstheme="minorBidi"/>
          <w:b/>
          <w:bCs/>
          <w:color w:val="000000"/>
          <w:kern w:val="2"/>
          <w:sz w:val="32"/>
          <w:szCs w:val="22"/>
          <w:lang w:val="en-US" w:eastAsia="zh-CN" w:bidi="ar-SA"/>
        </w:rPr>
        <w:t>4.工程项目情况。</w:t>
      </w:r>
      <w:r>
        <w:rPr>
          <w:rFonts w:hint="eastAsia" w:ascii="仿宋_GB2312" w:hAnsi="仿宋_GB2312" w:eastAsia="仿宋_GB2312" w:cs="仿宋_GB2312"/>
          <w:color w:val="000000"/>
          <w:kern w:val="2"/>
          <w:sz w:val="32"/>
          <w:szCs w:val="32"/>
          <w:lang w:val="en-US" w:eastAsia="zh-CN" w:bidi="ar-SA"/>
        </w:rPr>
        <w:t>长投云玺项目位于江汉区建设大道与航空路交汇处，由湖北长投恒基于2020年投资建设。事故发生区域位于该项目A地块第一标段，总建筑面积16.6231万平方米，包含3#，5#，19#楼及附属地下室，计划竣工日期2023年3月。2020年5月，湖北长投恒基通过招投标方式将该项目第一标段发包给总承包单位中交一航局二公司，总承包施工范围包含基础工程、土建（地下室及主体结构）工程、门窗工程、建筑幕墙工程、消防工程等。2021年7月，中交一航局二公司将A地块第一标段劳务分包给湖北鑫佳铭和，由湖北鑫佳铭和负责该标段主体结构施工。湖北鑫佳铭和施工作业班组分为泥工班组、架子工班组和木工班组，事故当事人付某某为木工班组小工，主要负责协助木工师傅装拆施工支撑模板、搬运模板材料等。</w:t>
      </w:r>
    </w:p>
    <w:p w14:paraId="6FE228A7">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sz w:val="32"/>
          <w:szCs w:val="32"/>
          <w:lang w:val="en-US" w:eastAsia="zh-CN"/>
        </w:rPr>
      </w:pPr>
      <w:bookmarkStart w:id="21" w:name="_Toc31071"/>
      <w:r>
        <w:rPr>
          <w:rFonts w:hint="eastAsia" w:ascii="楷体_GB2312" w:hAnsi="楷体_GB2312" w:eastAsia="楷体_GB2312" w:cs="楷体_GB2312"/>
          <w:b/>
          <w:bCs/>
          <w:kern w:val="2"/>
          <w:sz w:val="32"/>
          <w:szCs w:val="32"/>
          <w:lang w:val="en-US" w:eastAsia="zh-CN" w:bidi="ar-SA"/>
        </w:rPr>
        <w:t>（二）</w:t>
      </w:r>
      <w:r>
        <w:rPr>
          <w:rFonts w:hint="eastAsia" w:ascii="楷体_GB2312" w:hAnsi="楷体_GB2312" w:eastAsia="楷体_GB2312" w:cs="楷体_GB2312"/>
          <w:b/>
          <w:bCs/>
          <w:sz w:val="32"/>
          <w:szCs w:val="32"/>
          <w:lang w:val="en-US" w:eastAsia="zh-CN"/>
        </w:rPr>
        <w:t>项目安全管理情况</w:t>
      </w:r>
      <w:bookmarkEnd w:id="21"/>
    </w:p>
    <w:p w14:paraId="636E205F">
      <w:pPr>
        <w:keepNext w:val="0"/>
        <w:keepLines w:val="0"/>
        <w:pageBreakBefore w:val="0"/>
        <w:widowControl w:val="0"/>
        <w:kinsoku/>
        <w:wordWrap/>
        <w:topLinePunct w:val="0"/>
        <w:bidi w:val="0"/>
        <w:spacing w:line="560" w:lineRule="exact"/>
        <w:ind w:firstLine="643" w:firstLineChars="200"/>
        <w:textAlignment w:val="auto"/>
        <w:rPr>
          <w:rFonts w:hint="default" w:ascii="仿宋_GB2312" w:hAnsi="Calibri" w:eastAsia="仿宋_GB2312" w:cstheme="minorBidi"/>
          <w:b/>
          <w:bCs/>
          <w:color w:val="000000"/>
          <w:kern w:val="2"/>
          <w:sz w:val="32"/>
          <w:szCs w:val="22"/>
          <w:lang w:val="en-US" w:eastAsia="zh-CN" w:bidi="ar-SA"/>
        </w:rPr>
      </w:pPr>
      <w:r>
        <w:rPr>
          <w:rFonts w:hint="eastAsia" w:ascii="仿宋_GB2312" w:hAnsi="Calibri" w:eastAsia="仿宋_GB2312" w:cstheme="minorBidi"/>
          <w:b/>
          <w:bCs/>
          <w:color w:val="000000"/>
          <w:kern w:val="2"/>
          <w:sz w:val="32"/>
          <w:szCs w:val="22"/>
          <w:lang w:val="en-US" w:eastAsia="zh-CN" w:bidi="ar-SA"/>
        </w:rPr>
        <w:t>1.事故单位安全管理情况。</w:t>
      </w:r>
      <w:r>
        <w:rPr>
          <w:rFonts w:hint="eastAsia" w:ascii="仿宋_GB2312" w:hAnsi="仿宋_GB2312" w:eastAsia="仿宋_GB2312" w:cs="仿宋_GB2312"/>
          <w:color w:val="000000"/>
          <w:kern w:val="2"/>
          <w:sz w:val="32"/>
          <w:szCs w:val="32"/>
          <w:lang w:val="en-US" w:eastAsia="zh-CN" w:bidi="ar-SA"/>
        </w:rPr>
        <w:t>湖北鑫佳铭和长投云玺项目共有劳务施工人员约100人，设置管理机构一个，包含现场经理1人，安全员1人，楼栋施工员3人，材料员、施工员若干，其中项目安全管理由安全员负责，现场施工安全由木工、泥工、架子工班组长负责。湖北鑫佳铭和对临边、洞口安全防护管理存在漏洞，长期出现临边、洞口防护不到位情况，自进入项目施工至事故发生期间，共计被项目监理、总承包单位、监管部门发现13处临边洞口防护缺失或不符合规范的隐患。造成事故的负一楼孔洞原为地下室施工时设置的钢质格构柱区域，地下室施工完成后进行拆除，遗留孔洞未封堵。10月14日，江汉区建管站下达停工整改指令后，湖北鑫佳铭和对该孔洞使用木模板覆盖，并使用钢钉固定在地面。10月26日复工后，湖北鑫佳铭和组织木工班组对地下室支撑模拆除，但作业人员为节省搬运距离</w:t>
      </w:r>
      <w:r>
        <w:rPr>
          <w:rStyle w:val="17"/>
          <w:rFonts w:hint="eastAsia" w:ascii="仿宋_GB2312" w:hAnsi="仿宋_GB2312" w:eastAsia="仿宋_GB2312" w:cs="仿宋_GB2312"/>
          <w:color w:val="000000"/>
          <w:kern w:val="2"/>
          <w:sz w:val="32"/>
          <w:szCs w:val="32"/>
          <w:lang w:val="en-US" w:eastAsia="zh-CN" w:bidi="ar-SA"/>
        </w:rPr>
        <w:footnoteReference w:id="0"/>
      </w:r>
      <w:r>
        <w:rPr>
          <w:rFonts w:hint="eastAsia" w:ascii="仿宋_GB2312" w:hAnsi="仿宋_GB2312" w:eastAsia="仿宋_GB2312" w:cs="仿宋_GB2312"/>
          <w:color w:val="000000"/>
          <w:kern w:val="2"/>
          <w:sz w:val="32"/>
          <w:szCs w:val="32"/>
          <w:lang w:val="en-US" w:eastAsia="zh-CN" w:bidi="ar-SA"/>
        </w:rPr>
        <w:t>，便将封闭孔洞的木模板移除，通过该孔洞从负二层向负一层传递已拆除的钢管、扣件等材料。截至事故发生，湖北鑫佳铭和各级安全管理人员未发现工人打开洞口防护模板的违章行为，未对已拆除防护的洞口采取措施消除隐患。</w:t>
      </w:r>
    </w:p>
    <w:p w14:paraId="4172296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kern w:val="2"/>
          <w:sz w:val="32"/>
          <w:szCs w:val="32"/>
          <w:lang w:val="en-US" w:eastAsia="zh-CN" w:bidi="ar-SA"/>
        </w:rPr>
      </w:pPr>
      <w:r>
        <w:rPr>
          <w:rFonts w:hint="eastAsia" w:ascii="仿宋_GB2312" w:hAnsi="Calibri" w:eastAsia="仿宋_GB2312" w:cstheme="minorBidi"/>
          <w:b/>
          <w:bCs/>
          <w:color w:val="000000"/>
          <w:kern w:val="2"/>
          <w:sz w:val="32"/>
          <w:szCs w:val="22"/>
          <w:lang w:val="en-US" w:eastAsia="zh-CN" w:bidi="ar-SA"/>
        </w:rPr>
        <w:t>2.建设部门安全监管情况。</w:t>
      </w:r>
      <w:r>
        <w:rPr>
          <w:rFonts w:hint="eastAsia" w:ascii="仿宋_GB2312" w:hAnsi="仿宋_GB2312" w:eastAsia="仿宋_GB2312" w:cs="仿宋_GB2312"/>
          <w:color w:val="000000"/>
          <w:kern w:val="2"/>
          <w:sz w:val="32"/>
          <w:szCs w:val="32"/>
          <w:lang w:val="en-US" w:eastAsia="zh-CN" w:bidi="ar-SA"/>
        </w:rPr>
        <w:t>2020年11月，该项目开工后，江汉区建管站根据《武汉市建设工程项目施工现场安全监督检查实施办法（试行）》关于安全监督检查频度的要求，制定了长投云玺项目A地块第一标段《建设工程项目施工安全生产监督工作计划》，确定该工程项目施工安全生产监督检查频次为10次的安全监督检查工作计划，其中基础施工阶段1至2次，主体施工阶段6至7次，装饰装修阶段1至2次，该计划符合《武汉市建设工程项目施工现场安全监督检查实施办法（试行）》监管频次要求。</w:t>
      </w:r>
    </w:p>
    <w:p w14:paraId="771A0513">
      <w:pPr>
        <w:ind w:firstLine="640" w:firstLineChars="200"/>
        <w:rPr>
          <w:rFonts w:hint="eastAsia" w:ascii="仿宋_GB2312" w:hAnsi="仿宋_GB2312" w:eastAsia="仿宋_GB2312" w:cs="仿宋_GB2312"/>
          <w:color w:val="000000"/>
          <w:kern w:val="2"/>
          <w:sz w:val="32"/>
          <w:szCs w:val="32"/>
          <w:lang w:val="en-US" w:eastAsia="zh-CN" w:bidi="ar-SA"/>
        </w:rPr>
      </w:pPr>
      <w:r>
        <w:rPr>
          <w:rFonts w:hint="eastAsia" w:ascii="仿宋_GB2312" w:hAnsi="仿宋_GB2312" w:eastAsia="仿宋_GB2312" w:cs="仿宋_GB2312"/>
          <w:color w:val="000000"/>
          <w:kern w:val="2"/>
          <w:sz w:val="32"/>
          <w:szCs w:val="32"/>
          <w:lang w:val="en-US" w:eastAsia="zh-CN" w:bidi="ar-SA"/>
        </w:rPr>
        <w:t>2021年1月至2021年10月，江汉区建管站共对该工程项目实际安全生产监督检查8次，复查3次，停工整改2次，制作下达各类文书18份，其中《建设工程项目施工安全监督检查记录》11份、《建设工程项目安全隐患限期整改通知书》3份、《建设工程项目安全隐患责令停工整改通知书》2份，复工通知2份，约谈参建单位及项目负责人2次。监管期间，共计5次对临边洞口防护下达整改指令，其中2021年10月14日，江汉区建管站向项目下达停工指令，并对湖北鑫佳铭和多次违反临边洞口防护安全要求的违法行为依法立案处罚。10月26日，复查合格后下达复工通知，对5#楼洞口防护缺失隐患进行了闭环管理。</w:t>
      </w:r>
    </w:p>
    <w:p w14:paraId="08C6923B">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2" w:name="_Toc10912"/>
      <w:r>
        <w:rPr>
          <w:rFonts w:hint="eastAsia" w:ascii="楷体_GB2312" w:hAnsi="楷体_GB2312" w:eastAsia="楷体_GB2312" w:cs="楷体_GB2312"/>
          <w:b/>
          <w:bCs/>
          <w:kern w:val="2"/>
          <w:sz w:val="32"/>
          <w:szCs w:val="32"/>
          <w:lang w:val="en-US" w:eastAsia="zh-CN" w:bidi="ar-SA"/>
        </w:rPr>
        <w:t>（三）事故发生经过</w:t>
      </w:r>
      <w:bookmarkEnd w:id="22"/>
    </w:p>
    <w:p w14:paraId="6F52E94F">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2021年10月29日早，木工班组分配刘某某及其妻子付某某负责地下室已拆除的木工模具、材料的收集整理。</w:t>
      </w:r>
    </w:p>
    <w:p w14:paraId="20541AEE">
      <w:pPr>
        <w:keepNext w:val="0"/>
        <w:keepLines w:val="0"/>
        <w:pageBreakBefore w:val="0"/>
        <w:widowControl w:val="0"/>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6时30分许，付某某随其丈夫进入5#楼地下室负一楼。随后，两人分开分别在负一楼不同区域开始进行收集整理作业。作业过程中，付某某不慎从未封堵的孔洞中掉落至负二层地面。</w:t>
      </w:r>
    </w:p>
    <w:p w14:paraId="5C8B1FC6">
      <w:pPr>
        <w:pStyle w:val="12"/>
        <w:jc w:val="left"/>
        <w:rPr>
          <w:rFonts w:hint="eastAsia"/>
          <w:lang w:val="en-US" w:eastAsia="zh-CN"/>
        </w:rPr>
      </w:pPr>
      <w:r>
        <w:rPr>
          <w:rFonts w:hint="eastAsia" w:hAnsi="仿宋_GB2312" w:cs="仿宋_GB2312"/>
          <w:sz w:val="32"/>
          <w:szCs w:val="32"/>
          <w:lang w:val="en-US" w:eastAsia="zh-CN"/>
        </w:rPr>
        <w:t>6点40分许，一名架子工发现付某某躺在负二楼地上，便告知了木工班组负责人裴某，随后裴某电话询问刘某某其爱人所在区域，并前往负二楼查看情况。刘某某接到电话后，便在在负一层寻找，寻找未果（期间，刘某某曾发现事发地面孔洞未封堵），刘某某离开负一层前往其他区域寻找，后遇到工友说负二楼有人摔伤便赶到了事故现场。</w:t>
      </w:r>
    </w:p>
    <w:p w14:paraId="5705F322">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3" w:name="_Toc27122"/>
      <w:r>
        <w:rPr>
          <w:rFonts w:hint="eastAsia" w:ascii="楷体_GB2312" w:hAnsi="楷体_GB2312" w:eastAsia="楷体_GB2312" w:cs="楷体_GB2312"/>
          <w:b/>
          <w:bCs/>
          <w:kern w:val="2"/>
          <w:sz w:val="32"/>
          <w:szCs w:val="32"/>
          <w:lang w:val="en-US" w:eastAsia="zh-CN" w:bidi="ar-SA"/>
        </w:rPr>
        <w:t>（四）事故现场情况</w:t>
      </w:r>
      <w:bookmarkEnd w:id="23"/>
    </w:p>
    <w:p w14:paraId="353788F9">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仿宋_GB2312" w:eastAsia="仿宋_GB2312" w:cs="仿宋_GB2312"/>
          <w:sz w:val="32"/>
          <w:szCs w:val="32"/>
          <w:lang w:val="en-US" w:eastAsia="zh-CN"/>
        </w:rPr>
        <w:t>事故现场位于</w:t>
      </w:r>
      <w:r>
        <w:rPr>
          <w:rFonts w:hint="eastAsia" w:ascii="仿宋_GB2312" w:hAnsi="仿宋_GB2312" w:eastAsia="仿宋_GB2312" w:cs="仿宋_GB2312"/>
          <w:color w:val="000000"/>
          <w:kern w:val="2"/>
          <w:sz w:val="32"/>
          <w:szCs w:val="32"/>
          <w:lang w:val="en-US" w:eastAsia="zh-CN" w:bidi="ar-SA"/>
        </w:rPr>
        <w:t>江汉区建设大道与航空路交汇处长投云玺项目A地块第一标段5#楼地下室负一楼</w:t>
      </w:r>
      <w:r>
        <w:rPr>
          <w:rFonts w:hint="eastAsia" w:ascii="仿宋_GB2312" w:hAnsi="Calibri" w:eastAsia="仿宋_GB2312" w:cstheme="minorBidi"/>
          <w:color w:val="000000"/>
          <w:kern w:val="2"/>
          <w:sz w:val="32"/>
          <w:szCs w:val="22"/>
          <w:lang w:val="en-US" w:eastAsia="zh-CN" w:bidi="ar-SA"/>
        </w:rPr>
        <w:t>。事故发生时，5#楼负一楼正在进行支撑模拆除，事发区域支撑模已拆除，地面有一方形洞口，洞口联通负二层，洞口尺寸约450mm*450mm,该洞口为前期地下室施工搭建的格构柱拆除后留下。洞口边放置有一张木模板，尺寸约110cm*80cm，模板旁地面堆放6根钢管，模板覆盖洞口并使用钉子固定，外围设置围栏（事故发生时木模板仅覆盖约20%，无围栏）；洞口周边地面有较厚的残留沙土，未设置警示标识和警示带（详见图一</w:t>
      </w:r>
      <w:r>
        <w:rPr>
          <w:rStyle w:val="17"/>
          <w:rFonts w:hint="eastAsia" w:ascii="仿宋_GB2312" w:hAnsi="Calibri" w:eastAsia="仿宋_GB2312" w:cstheme="minorBidi"/>
          <w:color w:val="000000"/>
          <w:kern w:val="2"/>
          <w:sz w:val="32"/>
          <w:szCs w:val="22"/>
          <w:lang w:val="en-US" w:eastAsia="zh-CN" w:bidi="ar-SA"/>
        </w:rPr>
        <w:footnoteReference w:id="1"/>
      </w:r>
      <w:r>
        <w:rPr>
          <w:rFonts w:hint="eastAsia" w:ascii="仿宋_GB2312" w:hAnsi="Calibri" w:eastAsia="仿宋_GB2312" w:cstheme="minorBidi"/>
          <w:color w:val="000000"/>
          <w:kern w:val="2"/>
          <w:sz w:val="32"/>
          <w:szCs w:val="22"/>
          <w:lang w:val="en-US" w:eastAsia="zh-CN" w:bidi="ar-SA"/>
        </w:rPr>
        <w:t>）。</w:t>
      </w:r>
    </w:p>
    <w:p w14:paraId="3F079057">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仿宋_GB2312" w:hAnsi="Calibri" w:eastAsia="仿宋_GB2312" w:cstheme="minorBidi"/>
          <w:color w:val="000000"/>
          <w:kern w:val="2"/>
          <w:sz w:val="24"/>
          <w:szCs w:val="24"/>
          <w:lang w:val="en-US" w:eastAsia="zh-CN" w:bidi="ar-SA"/>
        </w:rPr>
      </w:pPr>
      <w:r>
        <w:rPr>
          <w:rFonts w:hint="eastAsia" w:ascii="仿宋_GB2312" w:hAnsi="Calibri" w:eastAsia="仿宋_GB2312" w:cstheme="minorBidi"/>
          <w:color w:val="000000"/>
          <w:kern w:val="2"/>
          <w:sz w:val="24"/>
          <w:szCs w:val="24"/>
          <w:lang w:val="en-US" w:eastAsia="zh-CN" w:bidi="ar-SA"/>
        </w:rPr>
        <w:drawing>
          <wp:anchor distT="0" distB="0" distL="114300" distR="114300" simplePos="0" relativeHeight="251661312" behindDoc="0" locked="0" layoutInCell="1" allowOverlap="1">
            <wp:simplePos x="0" y="0"/>
            <wp:positionH relativeFrom="column">
              <wp:posOffset>304800</wp:posOffset>
            </wp:positionH>
            <wp:positionV relativeFrom="page">
              <wp:posOffset>4824095</wp:posOffset>
            </wp:positionV>
            <wp:extent cx="4809490" cy="3234055"/>
            <wp:effectExtent l="0" t="0" r="6350" b="12065"/>
            <wp:wrapTopAndBottom/>
            <wp:docPr id="2" name="图片 2" descr="172101786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1017869237"/>
                    <pic:cNvPicPr>
                      <a:picLocks noChangeAspect="1"/>
                    </pic:cNvPicPr>
                  </pic:nvPicPr>
                  <pic:blipFill>
                    <a:blip r:embed="rId7"/>
                    <a:stretch>
                      <a:fillRect/>
                    </a:stretch>
                  </pic:blipFill>
                  <pic:spPr>
                    <a:xfrm>
                      <a:off x="0" y="0"/>
                      <a:ext cx="4809490" cy="3234055"/>
                    </a:xfrm>
                    <a:prstGeom prst="rect">
                      <a:avLst/>
                    </a:prstGeom>
                  </pic:spPr>
                </pic:pic>
              </a:graphicData>
            </a:graphic>
          </wp:anchor>
        </w:drawing>
      </w:r>
      <w:r>
        <w:rPr>
          <w:rFonts w:hint="eastAsia" w:ascii="仿宋_GB2312" w:hAnsi="Calibri" w:eastAsia="仿宋_GB2312" w:cstheme="minorBidi"/>
          <w:color w:val="000000"/>
          <w:kern w:val="2"/>
          <w:sz w:val="24"/>
          <w:szCs w:val="24"/>
          <w:lang w:val="en-US" w:eastAsia="zh-CN" w:bidi="ar-SA"/>
        </w:rPr>
        <w:t>图一  5#楼负一层事故现场(10月29日下午整改封堵后拍摄)</w:t>
      </w:r>
    </w:p>
    <w:p w14:paraId="1BE70526">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负二层地面积水较严重，洞口下方格构柱拆除区域堆放部分建筑垃圾，附近遗留有一吊斗（调运钢管连接扣件使用，事发后湖北鑫佳铭和安排工人清理）（详见图二</w:t>
      </w:r>
      <w:r>
        <w:rPr>
          <w:rStyle w:val="17"/>
          <w:rFonts w:hint="eastAsia" w:ascii="仿宋_GB2312" w:hAnsi="Calibri" w:eastAsia="仿宋_GB2312" w:cstheme="minorBidi"/>
          <w:color w:val="000000"/>
          <w:kern w:val="2"/>
          <w:sz w:val="32"/>
          <w:szCs w:val="22"/>
          <w:lang w:val="en-US" w:eastAsia="zh-CN" w:bidi="ar-SA"/>
        </w:rPr>
        <w:footnoteReference w:id="2"/>
      </w:r>
      <w:r>
        <w:rPr>
          <w:rFonts w:hint="eastAsia" w:ascii="仿宋_GB2312" w:hAnsi="Calibri" w:eastAsia="仿宋_GB2312" w:cstheme="minorBidi"/>
          <w:color w:val="000000"/>
          <w:kern w:val="2"/>
          <w:sz w:val="32"/>
          <w:szCs w:val="22"/>
          <w:lang w:val="en-US" w:eastAsia="zh-CN" w:bidi="ar-SA"/>
        </w:rPr>
        <w:t>）。</w:t>
      </w:r>
    </w:p>
    <w:p w14:paraId="0D92D05A">
      <w:pPr>
        <w:keepNext w:val="0"/>
        <w:keepLines w:val="0"/>
        <w:pageBreakBefore w:val="0"/>
        <w:widowControl w:val="0"/>
        <w:kinsoku/>
        <w:wordWrap/>
        <w:topLinePunct w:val="0"/>
        <w:bidi w:val="0"/>
        <w:spacing w:line="560" w:lineRule="exact"/>
        <w:jc w:val="center"/>
        <w:textAlignment w:val="auto"/>
        <w:rPr>
          <w:rFonts w:hint="default" w:ascii="仿宋_GB2312" w:hAnsi="Calibri" w:eastAsia="仿宋_GB2312" w:cstheme="minorBidi"/>
          <w:color w:val="000000"/>
          <w:kern w:val="2"/>
          <w:sz w:val="28"/>
          <w:szCs w:val="28"/>
          <w:lang w:val="en-US" w:eastAsia="zh-CN" w:bidi="ar-SA"/>
        </w:rPr>
      </w:pPr>
      <w:r>
        <w:rPr>
          <w:rFonts w:hint="eastAsia" w:ascii="仿宋_GB2312" w:hAnsi="Calibri" w:eastAsia="仿宋_GB2312" w:cstheme="minorBidi"/>
          <w:color w:val="000000"/>
          <w:kern w:val="2"/>
          <w:sz w:val="28"/>
          <w:szCs w:val="28"/>
          <w:lang w:val="en-US" w:eastAsia="zh-CN" w:bidi="ar-SA"/>
        </w:rPr>
        <w:drawing>
          <wp:anchor distT="0" distB="0" distL="114300" distR="114300" simplePos="0" relativeHeight="251660288" behindDoc="0" locked="0" layoutInCell="1" allowOverlap="1">
            <wp:simplePos x="0" y="0"/>
            <wp:positionH relativeFrom="column">
              <wp:posOffset>556895</wp:posOffset>
            </wp:positionH>
            <wp:positionV relativeFrom="page">
              <wp:posOffset>1894840</wp:posOffset>
            </wp:positionV>
            <wp:extent cx="4744720" cy="3073400"/>
            <wp:effectExtent l="0" t="0" r="10160" b="5080"/>
            <wp:wrapTopAndBottom/>
            <wp:docPr id="1" name="图片 1" descr="17210167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1016702140"/>
                    <pic:cNvPicPr>
                      <a:picLocks noChangeAspect="1"/>
                    </pic:cNvPicPr>
                  </pic:nvPicPr>
                  <pic:blipFill>
                    <a:blip r:embed="rId8"/>
                    <a:stretch>
                      <a:fillRect/>
                    </a:stretch>
                  </pic:blipFill>
                  <pic:spPr>
                    <a:xfrm>
                      <a:off x="0" y="0"/>
                      <a:ext cx="4744720" cy="3073400"/>
                    </a:xfrm>
                    <a:prstGeom prst="rect">
                      <a:avLst/>
                    </a:prstGeom>
                  </pic:spPr>
                </pic:pic>
              </a:graphicData>
            </a:graphic>
          </wp:anchor>
        </w:drawing>
      </w:r>
      <w:r>
        <w:rPr>
          <w:rFonts w:hint="eastAsia" w:ascii="仿宋_GB2312" w:hAnsi="Calibri" w:eastAsia="仿宋_GB2312" w:cstheme="minorBidi"/>
          <w:color w:val="000000"/>
          <w:kern w:val="2"/>
          <w:sz w:val="28"/>
          <w:szCs w:val="28"/>
          <w:lang w:val="en-US" w:eastAsia="zh-CN" w:bidi="ar-SA"/>
        </w:rPr>
        <w:t xml:space="preserve">图二  5#负二楼事故现场             </w:t>
      </w:r>
    </w:p>
    <w:p w14:paraId="5B93D15A">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4" w:name="_Toc24811"/>
      <w:r>
        <w:rPr>
          <w:rFonts w:hint="eastAsia" w:ascii="楷体_GB2312" w:hAnsi="楷体_GB2312" w:eastAsia="楷体_GB2312" w:cs="楷体_GB2312"/>
          <w:b/>
          <w:bCs/>
          <w:color w:val="000000"/>
          <w:kern w:val="2"/>
          <w:sz w:val="32"/>
          <w:szCs w:val="32"/>
          <w:lang w:val="en-US" w:eastAsia="zh-CN" w:bidi="ar-SA"/>
        </w:rPr>
        <w:t>（五）人员伤亡和直接经济损失情况</w:t>
      </w:r>
      <w:bookmarkEnd w:id="24"/>
    </w:p>
    <w:p w14:paraId="1B21E22F">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rPr>
          <w:rFonts w:hint="eastAsia"/>
          <w:b/>
          <w:bCs/>
          <w:lang w:val="en-US" w:eastAsia="zh-CN"/>
        </w:rPr>
      </w:pPr>
      <w:r>
        <w:rPr>
          <w:rFonts w:hint="eastAsia"/>
          <w:b/>
          <w:bCs/>
          <w:lang w:val="en-US" w:eastAsia="zh-CN"/>
        </w:rPr>
        <w:t>1.事故伤亡情况</w:t>
      </w:r>
    </w:p>
    <w:p w14:paraId="00880525">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0" w:firstLineChars="200"/>
        <w:textAlignment w:val="auto"/>
        <w:rPr>
          <w:rFonts w:hint="eastAsia"/>
          <w:lang w:val="en-US" w:eastAsia="zh-CN"/>
        </w:rPr>
      </w:pPr>
      <w:r>
        <w:rPr>
          <w:rFonts w:hint="eastAsia"/>
          <w:lang w:val="en-US" w:eastAsia="zh-CN"/>
        </w:rPr>
        <w:t>事故导致1人受伤，经医院救治，于2021年10月29日在转院途中死亡。</w:t>
      </w:r>
    </w:p>
    <w:p w14:paraId="26A55929">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rPr>
          <w:rFonts w:hint="eastAsia"/>
          <w:b/>
          <w:bCs/>
          <w:lang w:val="en-US" w:eastAsia="zh-CN"/>
        </w:rPr>
      </w:pPr>
      <w:r>
        <w:rPr>
          <w:rFonts w:hint="eastAsia" w:ascii="仿宋_GB2312" w:hAnsi="Calibri" w:eastAsia="仿宋_GB2312" w:cstheme="minorBidi"/>
          <w:b/>
          <w:bCs/>
          <w:color w:val="000000"/>
          <w:kern w:val="2"/>
          <w:sz w:val="32"/>
          <w:szCs w:val="22"/>
          <w:lang w:val="en-US" w:eastAsia="zh-CN" w:bidi="ar-SA"/>
        </w:rPr>
        <w:t>2.</w:t>
      </w:r>
      <w:r>
        <w:rPr>
          <w:rFonts w:hint="eastAsia"/>
          <w:b/>
          <w:bCs/>
          <w:lang w:val="en-US" w:eastAsia="zh-CN"/>
        </w:rPr>
        <w:t>事故直接经济损失</w:t>
      </w:r>
    </w:p>
    <w:p w14:paraId="178F1B77">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default"/>
          <w:lang w:val="en-US" w:eastAsia="zh-CN"/>
        </w:rPr>
        <w:t>事故直接经济损失</w:t>
      </w:r>
      <w:r>
        <w:rPr>
          <w:rFonts w:hint="eastAsia"/>
          <w:lang w:val="en-US" w:eastAsia="zh-CN"/>
        </w:rPr>
        <w:t>约210</w:t>
      </w:r>
      <w:r>
        <w:rPr>
          <w:rFonts w:hint="default"/>
          <w:lang w:val="en-US" w:eastAsia="zh-CN"/>
        </w:rPr>
        <w:t>万元</w:t>
      </w:r>
      <w:r>
        <w:rPr>
          <w:rFonts w:hint="eastAsia"/>
          <w:lang w:val="en-US" w:eastAsia="zh-CN"/>
        </w:rPr>
        <w:t>。</w:t>
      </w:r>
      <w:r>
        <w:rPr>
          <w:rFonts w:hint="default"/>
          <w:lang w:val="en-US" w:eastAsia="zh-CN"/>
        </w:rPr>
        <w:t>其中</w:t>
      </w:r>
      <w:r>
        <w:rPr>
          <w:rFonts w:hint="eastAsia"/>
          <w:lang w:val="en-US" w:eastAsia="zh-CN"/>
        </w:rPr>
        <w:t>死亡补偿金140</w:t>
      </w:r>
      <w:r>
        <w:rPr>
          <w:rFonts w:hint="default"/>
          <w:lang w:val="en-US" w:eastAsia="zh-CN"/>
        </w:rPr>
        <w:t>万元</w:t>
      </w:r>
      <w:r>
        <w:rPr>
          <w:rFonts w:hint="eastAsia"/>
          <w:lang w:val="en-US" w:eastAsia="zh-CN"/>
        </w:rPr>
        <w:t>,对相关单位和个人处罚约70</w:t>
      </w:r>
      <w:r>
        <w:rPr>
          <w:rFonts w:hint="default"/>
          <w:lang w:val="en-US" w:eastAsia="zh-CN"/>
        </w:rPr>
        <w:t>万元。</w:t>
      </w:r>
    </w:p>
    <w:p w14:paraId="2D9A7865">
      <w:pPr>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5" w:name="_Toc4772"/>
      <w:r>
        <w:rPr>
          <w:rFonts w:hint="eastAsia" w:ascii="楷体_GB2312" w:hAnsi="楷体_GB2312" w:eastAsia="楷体_GB2312" w:cs="楷体_GB2312"/>
          <w:b/>
          <w:bCs/>
          <w:color w:val="000000"/>
          <w:kern w:val="2"/>
          <w:sz w:val="32"/>
          <w:szCs w:val="32"/>
          <w:lang w:val="en-US" w:eastAsia="zh-CN" w:bidi="ar-SA"/>
        </w:rPr>
        <w:t>（六）其他情况</w:t>
      </w:r>
      <w:bookmarkEnd w:id="25"/>
    </w:p>
    <w:p w14:paraId="40E8DC38">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jc w:val="left"/>
        <w:textAlignment w:val="auto"/>
        <w:rPr>
          <w:rFonts w:hint="default"/>
          <w:lang w:val="en-US" w:eastAsia="zh-CN"/>
        </w:rPr>
      </w:pPr>
      <w:r>
        <w:rPr>
          <w:rFonts w:hint="eastAsia"/>
          <w:lang w:val="en-US" w:eastAsia="zh-CN"/>
        </w:rPr>
        <w:t>事故发生区域位于地下室一层中部，无照明，作业时间为10月底6时，自然照明不足，周边现场地面潮湿，沙土覆盖较厚。当事人付某某身材娇小，体重约40千克，存在从450mm*450mm尺寸洞口掉落的可能。</w:t>
      </w:r>
    </w:p>
    <w:p w14:paraId="01907F7C">
      <w:pPr>
        <w:pStyle w:val="1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26" w:name="_Toc22845"/>
      <w:r>
        <w:rPr>
          <w:rFonts w:hint="eastAsia" w:ascii="黑体" w:hAnsi="黑体" w:eastAsia="黑体" w:cs="黑体"/>
          <w:b/>
          <w:bCs/>
          <w:sz w:val="32"/>
          <w:szCs w:val="32"/>
          <w:lang w:val="en-US" w:eastAsia="zh-CN"/>
        </w:rPr>
        <w:t>事故应急处置及评估情况</w:t>
      </w:r>
      <w:bookmarkEnd w:id="26"/>
    </w:p>
    <w:p w14:paraId="628DE25F">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7" w:name="_Toc21271"/>
      <w:r>
        <w:rPr>
          <w:rFonts w:hint="eastAsia" w:ascii="楷体_GB2312" w:hAnsi="楷体_GB2312" w:eastAsia="楷体_GB2312" w:cs="楷体_GB2312"/>
          <w:b/>
          <w:bCs/>
          <w:kern w:val="2"/>
          <w:sz w:val="32"/>
          <w:szCs w:val="32"/>
          <w:lang w:val="en-US" w:eastAsia="zh-CN" w:bidi="ar-SA"/>
        </w:rPr>
        <w:t>（一）事故信息接报及响应情况</w:t>
      </w:r>
      <w:bookmarkEnd w:id="27"/>
    </w:p>
    <w:p w14:paraId="1EFD097F">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lang w:val="en-US" w:eastAsia="zh-CN"/>
        </w:rPr>
      </w:pPr>
      <w:r>
        <w:rPr>
          <w:rFonts w:hint="eastAsia"/>
          <w:b/>
          <w:bCs/>
          <w:lang w:val="en-US" w:eastAsia="zh-CN"/>
        </w:rPr>
        <w:t>1.事故报告情况</w:t>
      </w:r>
    </w:p>
    <w:p w14:paraId="4B100176">
      <w:pPr>
        <w:pStyle w:val="12"/>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lang w:val="en-US" w:eastAsia="zh-CN"/>
        </w:rPr>
      </w:pPr>
      <w:r>
        <w:rPr>
          <w:rFonts w:hint="eastAsia"/>
          <w:lang w:val="en-US" w:eastAsia="zh-CN"/>
        </w:rPr>
        <w:t>2021年10月29日，架子工发现躺在地上的付某某后，第一时间告知木工班组负责人裴某，裴某前往事故现场查看情况。裴某到达现场后，将事故信息报告给公司安全员刘某，并立即安排工人协助将付某某送往同济医院救治。</w:t>
      </w:r>
    </w:p>
    <w:p w14:paraId="177A5B28">
      <w:pPr>
        <w:pStyle w:val="12"/>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lang w:val="en-US" w:eastAsia="zh-CN"/>
        </w:rPr>
      </w:pPr>
      <w:r>
        <w:rPr>
          <w:rFonts w:hint="eastAsia"/>
          <w:lang w:val="en-US" w:eastAsia="zh-CN"/>
        </w:rPr>
        <w:t>刘某接到事故信息后，电话将事故情况报告项目生产经理张某，张某通过电话将事故情况报告给湖北鑫佳铭和主要负责人祝某某。随后，张某和祝某某先后前往医院处理伤员救治事宜。</w:t>
      </w:r>
    </w:p>
    <w:p w14:paraId="18AE5D7D">
      <w:pPr>
        <w:pStyle w:val="12"/>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643" w:firstLineChars="200"/>
        <w:textAlignment w:val="auto"/>
        <w:rPr>
          <w:rFonts w:hint="eastAsia"/>
          <w:b/>
          <w:bCs/>
          <w:lang w:val="en-US" w:eastAsia="zh-CN"/>
        </w:rPr>
      </w:pPr>
      <w:r>
        <w:rPr>
          <w:rFonts w:hint="eastAsia" w:cstheme="minorBidi"/>
          <w:b/>
          <w:bCs/>
          <w:color w:val="000000"/>
          <w:kern w:val="2"/>
          <w:sz w:val="32"/>
          <w:szCs w:val="22"/>
          <w:lang w:val="en-US" w:eastAsia="zh-CN" w:bidi="ar-SA"/>
        </w:rPr>
        <w:t>2</w:t>
      </w:r>
      <w:r>
        <w:rPr>
          <w:rFonts w:hint="eastAsia" w:ascii="仿宋_GB2312" w:hAnsi="Calibri" w:eastAsia="仿宋_GB2312" w:cstheme="minorBidi"/>
          <w:b/>
          <w:bCs/>
          <w:color w:val="000000"/>
          <w:kern w:val="2"/>
          <w:sz w:val="32"/>
          <w:szCs w:val="22"/>
          <w:lang w:val="en-US" w:eastAsia="zh-CN" w:bidi="ar-SA"/>
        </w:rPr>
        <w:t>.</w:t>
      </w:r>
      <w:r>
        <w:rPr>
          <w:rFonts w:hint="eastAsia"/>
          <w:b/>
          <w:bCs/>
          <w:lang w:val="en-US" w:eastAsia="zh-CN"/>
        </w:rPr>
        <w:t>事故瞒报情况</w:t>
      </w:r>
    </w:p>
    <w:p w14:paraId="7F52DF9A">
      <w:pPr>
        <w:pStyle w:val="12"/>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eastAsia="仿宋_GB2312"/>
          <w:lang w:val="en-US" w:eastAsia="zh-CN"/>
        </w:rPr>
      </w:pPr>
      <w:r>
        <w:rPr>
          <w:rFonts w:hint="eastAsia"/>
          <w:lang w:val="en-US" w:eastAsia="zh-CN"/>
        </w:rPr>
        <w:t>10月29日上午，湖北鑫佳铭和主要负责人祝某某接到生产经理张某报告事故情况后，因忙于人员救治和处理善后且个人不知晓应当向政府报告事故的要求，故未在规定时间向有关部门报告。事故善后事宜处理完毕后，祝某某认为事故已经处理了结，故未报告事故情况。</w:t>
      </w:r>
    </w:p>
    <w:p w14:paraId="25AF1845">
      <w:pPr>
        <w:pStyle w:val="12"/>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lang w:val="en-US" w:eastAsia="zh-CN"/>
        </w:rPr>
      </w:pPr>
      <w:r>
        <w:rPr>
          <w:rFonts w:hint="eastAsia"/>
          <w:lang w:val="en-US" w:eastAsia="zh-CN"/>
        </w:rPr>
        <w:t xml:space="preserve">30日上午，中交一航局二公司项目部现场负责人邓某某接待了来访家属，家属要求其协调处理善后赔偿事宜，随后邓某某通过电话询问，从祝某某处了解事故有关情况，并全程参与协调善后赔偿事宜。因担心发生事故给项目建设及自身职务提升带来不利影响，邓某某并未按照公司规定向上级部门、监理单位、建设单位和政府部门报告事故信息。  </w:t>
      </w:r>
    </w:p>
    <w:p w14:paraId="29981AC9">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28" w:name="_Toc6600"/>
      <w:r>
        <w:rPr>
          <w:rFonts w:hint="eastAsia" w:ascii="楷体_GB2312" w:hAnsi="楷体_GB2312" w:eastAsia="楷体_GB2312" w:cs="楷体_GB2312"/>
          <w:b/>
          <w:bCs/>
          <w:kern w:val="2"/>
          <w:sz w:val="32"/>
          <w:szCs w:val="32"/>
          <w:lang w:val="en-US" w:eastAsia="zh-CN" w:bidi="ar-SA"/>
        </w:rPr>
        <w:t>（二）事故现场应急处置情况</w:t>
      </w:r>
      <w:bookmarkEnd w:id="28"/>
    </w:p>
    <w:p w14:paraId="58C4C8D4">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default"/>
          <w:lang w:val="en-US" w:eastAsia="zh-CN"/>
        </w:rPr>
      </w:pPr>
      <w:r>
        <w:rPr>
          <w:rFonts w:hint="eastAsia"/>
          <w:lang w:val="en-US" w:eastAsia="zh-CN"/>
        </w:rPr>
        <w:t>事故发生后，</w:t>
      </w:r>
      <w:r>
        <w:rPr>
          <w:rFonts w:hint="eastAsia" w:hAnsi="仿宋_GB2312" w:cs="仿宋_GB2312"/>
          <w:sz w:val="32"/>
          <w:szCs w:val="32"/>
          <w:lang w:val="en-US" w:eastAsia="zh-CN"/>
        </w:rPr>
        <w:t>湖北鑫佳铭和木工班组负责人裴某迅速安排工人协助开展救援，联系安全员刘某使用公司车辆将伤者送至同济医院救治。29日下午，为防止再次发生坠落事故，刘某安排工人对被拆除防护隔板的孔洞进行封堵，并在周边设置防护栏杆。</w:t>
      </w:r>
    </w:p>
    <w:p w14:paraId="436C056A">
      <w:pPr>
        <w:keepNext w:val="0"/>
        <w:keepLines w:val="0"/>
        <w:pageBreakBefore w:val="0"/>
        <w:widowControl w:val="0"/>
        <w:numPr>
          <w:ilvl w:val="0"/>
          <w:numId w:val="0"/>
        </w:numPr>
        <w:kinsoku/>
        <w:wordWrap/>
        <w:overflowPunct/>
        <w:topLinePunct w:val="0"/>
        <w:autoSpaceDE/>
        <w:autoSpaceDN/>
        <w:bidi w:val="0"/>
        <w:adjustRightInd/>
        <w:snapToGrid/>
        <w:spacing w:beforeAutospacing="0" w:line="560" w:lineRule="exact"/>
        <w:ind w:firstLine="643" w:firstLineChars="200"/>
        <w:textAlignment w:val="auto"/>
        <w:outlineLvl w:val="1"/>
        <w:rPr>
          <w:rFonts w:hint="eastAsia" w:ascii="楷体_GB2312" w:hAnsi="楷体_GB2312" w:eastAsia="楷体_GB2312" w:cs="楷体_GB2312"/>
          <w:b/>
          <w:bCs/>
          <w:color w:val="000000"/>
          <w:kern w:val="2"/>
          <w:sz w:val="32"/>
          <w:szCs w:val="32"/>
          <w:lang w:val="en-US" w:eastAsia="zh-CN" w:bidi="ar-SA"/>
        </w:rPr>
      </w:pPr>
      <w:bookmarkStart w:id="29" w:name="_Toc4454"/>
      <w:r>
        <w:rPr>
          <w:rFonts w:hint="eastAsia" w:ascii="楷体_GB2312" w:hAnsi="楷体_GB2312" w:eastAsia="楷体_GB2312" w:cs="楷体_GB2312"/>
          <w:b/>
          <w:bCs/>
          <w:color w:val="000000"/>
          <w:kern w:val="2"/>
          <w:sz w:val="32"/>
          <w:szCs w:val="32"/>
          <w:lang w:val="en-US" w:eastAsia="zh-CN" w:bidi="ar-SA"/>
        </w:rPr>
        <w:t>（三）医疗救治和善后情况</w:t>
      </w:r>
      <w:bookmarkEnd w:id="29"/>
    </w:p>
    <w:p w14:paraId="2DD9216D">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outlineLvl w:val="2"/>
        <w:rPr>
          <w:rFonts w:hint="eastAsia"/>
          <w:b/>
          <w:bCs/>
          <w:lang w:val="en-US" w:eastAsia="zh-CN"/>
        </w:rPr>
      </w:pPr>
      <w:r>
        <w:rPr>
          <w:rFonts w:hint="eastAsia"/>
          <w:b/>
          <w:bCs/>
          <w:lang w:val="en-US" w:eastAsia="zh-CN"/>
        </w:rPr>
        <w:t>1.医疗救治情况</w:t>
      </w:r>
    </w:p>
    <w:p w14:paraId="6F166393">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default"/>
          <w:lang w:val="en-US" w:eastAsia="zh-CN"/>
        </w:rPr>
      </w:pPr>
      <w:r>
        <w:rPr>
          <w:rFonts w:hint="eastAsia"/>
          <w:lang w:val="en-US" w:eastAsia="zh-CN"/>
        </w:rPr>
        <w:t>2021年10月29日7时24分，付某某被送至同济医院进行初步检查和急救，病历记录付某某因高处坠落昏迷1小时入院治疗。9时44分，医院检查结果显示，付某某身体多处损伤，双侧瞳孔散大，颌面部肿胀，散在血渍，腹部膨隆，医院向家属下达病危通知。10时10分，家属因担心付某某在武汉去世无法回恩施老家土葬，自愿申请转院回家治疗，随后使用救护车将付某某转出返回恩施，转运途中付某某死亡。</w:t>
      </w:r>
    </w:p>
    <w:p w14:paraId="2F513D39">
      <w:pPr>
        <w:pStyle w:val="12"/>
        <w:keepNext w:val="0"/>
        <w:keepLines w:val="0"/>
        <w:pageBreakBefore w:val="0"/>
        <w:widowControl w:val="0"/>
        <w:numPr>
          <w:ilvl w:val="0"/>
          <w:numId w:val="0"/>
        </w:numPr>
        <w:kinsoku/>
        <w:wordWrap/>
        <w:overflowPunct/>
        <w:topLinePunct w:val="0"/>
        <w:autoSpaceDE/>
        <w:autoSpaceDN/>
        <w:bidi w:val="0"/>
        <w:snapToGrid/>
        <w:spacing w:line="560" w:lineRule="exact"/>
        <w:ind w:left="0" w:leftChars="0" w:firstLine="643" w:firstLineChars="200"/>
        <w:textAlignment w:val="auto"/>
        <w:outlineLvl w:val="2"/>
        <w:rPr>
          <w:rFonts w:hint="eastAsia"/>
          <w:b/>
          <w:bCs/>
          <w:lang w:val="en-US" w:eastAsia="zh-CN"/>
        </w:rPr>
      </w:pPr>
      <w:r>
        <w:rPr>
          <w:rFonts w:hint="eastAsia"/>
          <w:b/>
          <w:bCs/>
          <w:lang w:val="en-US" w:eastAsia="zh-CN"/>
        </w:rPr>
        <w:t>2.善后处置情况</w:t>
      </w:r>
    </w:p>
    <w:p w14:paraId="1393EEDD">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10月29日下午，祝某某与家属就善后处置、赔偿进行沟通，但协商未果。</w:t>
      </w:r>
    </w:p>
    <w:p w14:paraId="57083A77">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10月30日上午，家属前往中交一航局二公司项目部要求协调处理善后事宜，现场负责人邓某某接待了来访家属，邓某某通过电话询问从祝某某了解事故有关情况，并要求祝某某妥善处理善后。为避免事故造成不良影响，祝某某同意了家属的赔偿条件，由邓某某代签了补偿协议书。下午16时，</w:t>
      </w:r>
      <w:r>
        <w:rPr>
          <w:rFonts w:hint="eastAsia" w:ascii="仿宋_GB2312" w:hAnsi="仿宋_GB2312" w:eastAsia="仿宋_GB2312" w:cs="仿宋_GB2312"/>
          <w:color w:val="000000"/>
          <w:kern w:val="2"/>
          <w:sz w:val="32"/>
          <w:szCs w:val="32"/>
          <w:lang w:val="en-US" w:eastAsia="zh-CN" w:bidi="ar-SA"/>
        </w:rPr>
        <w:t>湖北鑫佳铭和</w:t>
      </w:r>
      <w:r>
        <w:rPr>
          <w:rFonts w:hint="eastAsia" w:hAnsi="仿宋_GB2312" w:cs="仿宋_GB2312"/>
          <w:color w:val="000000"/>
          <w:kern w:val="2"/>
          <w:sz w:val="32"/>
          <w:szCs w:val="32"/>
          <w:lang w:val="en-US" w:eastAsia="zh-CN" w:bidi="ar-SA"/>
        </w:rPr>
        <w:t>向家属支付了赔偿金，</w:t>
      </w:r>
      <w:r>
        <w:rPr>
          <w:rFonts w:hint="eastAsia"/>
          <w:lang w:val="en-US" w:eastAsia="zh-CN"/>
        </w:rPr>
        <w:t>事故善后得到妥善处置。</w:t>
      </w:r>
    </w:p>
    <w:p w14:paraId="35CCA597">
      <w:pPr>
        <w:pStyle w:val="1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30" w:name="_Toc20008"/>
      <w:r>
        <w:rPr>
          <w:rFonts w:hint="eastAsia" w:ascii="黑体" w:hAnsi="黑体" w:eastAsia="黑体" w:cs="黑体"/>
          <w:b/>
          <w:bCs/>
          <w:sz w:val="32"/>
          <w:szCs w:val="32"/>
          <w:lang w:val="en-US" w:eastAsia="zh-CN"/>
        </w:rPr>
        <w:t>事故原因分析</w:t>
      </w:r>
      <w:bookmarkEnd w:id="30"/>
      <w:r>
        <w:rPr>
          <w:rFonts w:hint="eastAsia" w:ascii="黑体" w:hAnsi="黑体" w:eastAsia="黑体" w:cs="黑体"/>
          <w:b/>
          <w:bCs/>
          <w:sz w:val="32"/>
          <w:szCs w:val="32"/>
          <w:lang w:val="en-US" w:eastAsia="zh-CN"/>
        </w:rPr>
        <w:t xml:space="preserve"> </w:t>
      </w:r>
    </w:p>
    <w:p w14:paraId="04CAAF4D">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1" w:name="_Toc22786"/>
      <w:r>
        <w:rPr>
          <w:rFonts w:hint="eastAsia" w:ascii="楷体_GB2312" w:hAnsi="楷体_GB2312" w:eastAsia="楷体_GB2312" w:cs="楷体_GB2312"/>
          <w:b/>
          <w:bCs/>
          <w:kern w:val="2"/>
          <w:sz w:val="32"/>
          <w:szCs w:val="32"/>
          <w:lang w:val="en-US" w:eastAsia="zh-CN" w:bidi="ar-SA"/>
        </w:rPr>
        <w:t>（一）直接原因分析</w:t>
      </w:r>
      <w:bookmarkEnd w:id="31"/>
    </w:p>
    <w:p w14:paraId="74DAF3EA">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事故的直接原因是：负一楼无照明设施，环境较暗，施工作业人员违章操作，拆除洞口防护模板后，未及时进行封堵，造成负一楼地面洞口防护缺失，导致作业人员从洞口掉落至负二楼。</w:t>
      </w:r>
    </w:p>
    <w:p w14:paraId="51753A33">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32" w:name="_Toc12608"/>
      <w:r>
        <w:rPr>
          <w:rFonts w:hint="eastAsia" w:ascii="楷体_GB2312" w:hAnsi="楷体_GB2312" w:eastAsia="楷体_GB2312" w:cs="楷体_GB2312"/>
          <w:b/>
          <w:bCs/>
          <w:kern w:val="2"/>
          <w:sz w:val="32"/>
          <w:szCs w:val="32"/>
          <w:lang w:val="en-US" w:eastAsia="zh-CN" w:bidi="ar-SA"/>
        </w:rPr>
        <w:t>（二）间接原因分析</w:t>
      </w:r>
      <w:bookmarkEnd w:id="32"/>
    </w:p>
    <w:p w14:paraId="5B146B1E">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湖北鑫佳铭和长期存在临边、洞口防护缺失和不规范行为，隐患排查治理不到位，对作业人员拆除防护设施的违章行为未及时发现，未及时采取有效措施消除事故隐患，未落实安全生产主体责任，安全管理缺失是事故发生的间接原因。</w:t>
      </w:r>
    </w:p>
    <w:p w14:paraId="59989638">
      <w:pPr>
        <w:pStyle w:val="1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default" w:ascii="黑体" w:hAnsi="黑体" w:eastAsia="黑体" w:cs="黑体"/>
          <w:b/>
          <w:bCs/>
          <w:sz w:val="32"/>
          <w:szCs w:val="32"/>
          <w:lang w:val="en-US" w:eastAsia="zh-CN"/>
        </w:rPr>
      </w:pPr>
      <w:bookmarkStart w:id="33" w:name="_Toc18835"/>
      <w:r>
        <w:rPr>
          <w:rFonts w:hint="eastAsia" w:ascii="黑体" w:hAnsi="黑体" w:eastAsia="黑体" w:cs="黑体"/>
          <w:b/>
          <w:bCs/>
          <w:sz w:val="32"/>
          <w:szCs w:val="32"/>
          <w:lang w:val="en-US" w:eastAsia="zh-CN"/>
        </w:rPr>
        <w:t>有关责任单位和人员存在的主要问题</w:t>
      </w:r>
      <w:bookmarkEnd w:id="33"/>
      <w:r>
        <w:rPr>
          <w:rFonts w:hint="eastAsia" w:ascii="黑体" w:hAnsi="黑体" w:eastAsia="黑体" w:cs="黑体"/>
          <w:b/>
          <w:bCs/>
          <w:sz w:val="32"/>
          <w:szCs w:val="32"/>
          <w:lang w:val="en-US" w:eastAsia="zh-CN"/>
        </w:rPr>
        <w:t xml:space="preserve"> </w:t>
      </w:r>
    </w:p>
    <w:p w14:paraId="182A3955">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4" w:name="_Toc15143"/>
      <w:r>
        <w:rPr>
          <w:rFonts w:hint="eastAsia" w:ascii="楷体_GB2312" w:hAnsi="楷体_GB2312" w:eastAsia="楷体_GB2312" w:cs="楷体_GB2312"/>
          <w:b/>
          <w:bCs/>
          <w:kern w:val="2"/>
          <w:sz w:val="32"/>
          <w:szCs w:val="32"/>
          <w:lang w:val="en-US" w:eastAsia="zh-CN" w:bidi="ar-SA"/>
        </w:rPr>
        <w:t>（一）事故单位存在的问题</w:t>
      </w:r>
      <w:bookmarkEnd w:id="34"/>
    </w:p>
    <w:p w14:paraId="72F03077">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0" w:firstLineChars="200"/>
        <w:textAlignment w:val="auto"/>
        <w:rPr>
          <w:rFonts w:hint="eastAsia"/>
          <w:lang w:val="en-US" w:eastAsia="zh-CN"/>
        </w:rPr>
      </w:pPr>
      <w:r>
        <w:rPr>
          <w:rFonts w:hint="eastAsia"/>
          <w:lang w:val="en-US" w:eastAsia="zh-CN"/>
        </w:rPr>
        <w:t>湖北鑫佳铭和安全生产主体责任落实不到位，对事故发生负有管理责任。</w:t>
      </w:r>
    </w:p>
    <w:p w14:paraId="1F22A743">
      <w:pPr>
        <w:keepNext w:val="0"/>
        <w:keepLines w:val="0"/>
        <w:pageBreakBefore w:val="0"/>
        <w:widowControl w:val="0"/>
        <w:numPr>
          <w:ilvl w:val="0"/>
          <w:numId w:val="2"/>
        </w:numPr>
        <w:kinsoku/>
        <w:wordWrap/>
        <w:topLinePunct w:val="0"/>
        <w:bidi w:val="0"/>
        <w:spacing w:line="560" w:lineRule="exact"/>
        <w:ind w:firstLine="643" w:firstLineChars="200"/>
        <w:textAlignment w:val="auto"/>
        <w:rPr>
          <w:rFonts w:hint="eastAsia" w:ascii="仿宋_GB2312" w:hAnsi="Calibri" w:eastAsia="仿宋_GB2312" w:cstheme="minorBidi"/>
          <w:b/>
          <w:bCs/>
          <w:color w:val="000000"/>
          <w:kern w:val="2"/>
          <w:sz w:val="32"/>
          <w:szCs w:val="22"/>
          <w:lang w:val="en-US" w:eastAsia="zh-CN" w:bidi="ar-SA"/>
        </w:rPr>
      </w:pPr>
      <w:r>
        <w:rPr>
          <w:rFonts w:hint="eastAsia" w:ascii="仿宋_GB2312" w:hAnsi="Calibri" w:eastAsia="仿宋_GB2312" w:cstheme="minorBidi"/>
          <w:b/>
          <w:bCs/>
          <w:color w:val="000000"/>
          <w:kern w:val="2"/>
          <w:sz w:val="32"/>
          <w:szCs w:val="22"/>
          <w:lang w:val="en-US" w:eastAsia="zh-CN" w:bidi="ar-SA"/>
        </w:rPr>
        <w:t>隐患排查治理存在漏洞</w:t>
      </w:r>
    </w:p>
    <w:p w14:paraId="409E4229">
      <w:pPr>
        <w:keepNext w:val="0"/>
        <w:keepLines w:val="0"/>
        <w:pageBreakBefore w:val="0"/>
        <w:widowControl w:val="0"/>
        <w:numPr>
          <w:ilvl w:val="0"/>
          <w:numId w:val="0"/>
        </w:numPr>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湖北鑫佳铭和公司自进入项目以来，多次被发现临边防护管理缺失和不符合规范行为，但并未研究制定有效措施，及时消除事故隐患</w:t>
      </w:r>
      <w:r>
        <w:rPr>
          <w:rStyle w:val="17"/>
          <w:rFonts w:hint="eastAsia" w:ascii="仿宋_GB2312" w:hAnsi="仿宋_GB2312" w:eastAsia="仿宋_GB2312" w:cs="仿宋_GB2312"/>
          <w:sz w:val="32"/>
          <w:szCs w:val="32"/>
          <w:lang w:val="en-US" w:eastAsia="zh-CN"/>
        </w:rPr>
        <w:footnoteReference w:id="3"/>
      </w:r>
      <w:r>
        <w:rPr>
          <w:rFonts w:hint="eastAsia" w:ascii="仿宋_GB2312" w:hAnsi="仿宋_GB2312" w:eastAsia="仿宋_GB2312" w:cs="仿宋_GB2312"/>
          <w:sz w:val="32"/>
          <w:szCs w:val="32"/>
          <w:lang w:val="en-US" w:eastAsia="zh-CN"/>
        </w:rPr>
        <w:t>，导致同样的事故隐患屡改屡现。</w:t>
      </w:r>
    </w:p>
    <w:p w14:paraId="0FA5E660">
      <w:pPr>
        <w:keepNext w:val="0"/>
        <w:keepLines w:val="0"/>
        <w:pageBreakBefore w:val="0"/>
        <w:widowControl w:val="0"/>
        <w:numPr>
          <w:ilvl w:val="0"/>
          <w:numId w:val="2"/>
        </w:numPr>
        <w:kinsoku/>
        <w:wordWrap/>
        <w:topLinePunct w:val="0"/>
        <w:bidi w:val="0"/>
        <w:spacing w:line="560" w:lineRule="exact"/>
        <w:ind w:left="0" w:leftChars="0" w:firstLine="643" w:firstLineChars="200"/>
        <w:textAlignment w:val="auto"/>
        <w:rPr>
          <w:rFonts w:hint="eastAsia" w:ascii="仿宋_GB2312" w:hAnsi="Calibri" w:eastAsia="仿宋_GB2312" w:cstheme="minorBidi"/>
          <w:b/>
          <w:bCs/>
          <w:color w:val="000000"/>
          <w:kern w:val="2"/>
          <w:sz w:val="32"/>
          <w:szCs w:val="22"/>
          <w:lang w:val="en-US" w:eastAsia="zh-CN" w:bidi="ar-SA"/>
        </w:rPr>
      </w:pPr>
      <w:r>
        <w:rPr>
          <w:rFonts w:hint="eastAsia" w:ascii="仿宋_GB2312" w:hAnsi="Calibri" w:eastAsia="仿宋_GB2312" w:cstheme="minorBidi"/>
          <w:b/>
          <w:bCs/>
          <w:color w:val="000000"/>
          <w:kern w:val="2"/>
          <w:sz w:val="32"/>
          <w:szCs w:val="22"/>
          <w:lang w:val="en-US" w:eastAsia="zh-CN" w:bidi="ar-SA"/>
        </w:rPr>
        <w:t>安全生产教育培训流于形式</w:t>
      </w:r>
    </w:p>
    <w:p w14:paraId="0C0A6EA8">
      <w:pPr>
        <w:keepNext w:val="0"/>
        <w:keepLines w:val="0"/>
        <w:pageBreakBefore w:val="0"/>
        <w:widowControl w:val="0"/>
        <w:numPr>
          <w:ilvl w:val="0"/>
          <w:numId w:val="0"/>
        </w:numPr>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教育培训流于形式，日常教育培训仅仅口头交代注意事项，未教育和督促从业人员严格执行本单位安全生产规章制度和安全操作规程</w:t>
      </w:r>
      <w:r>
        <w:rPr>
          <w:rStyle w:val="17"/>
          <w:rFonts w:hint="eastAsia" w:ascii="仿宋_GB2312" w:hAnsi="仿宋_GB2312" w:eastAsia="仿宋_GB2312" w:cs="仿宋_GB2312"/>
          <w:sz w:val="32"/>
          <w:szCs w:val="32"/>
          <w:lang w:val="en-US" w:eastAsia="zh-CN"/>
        </w:rPr>
        <w:footnoteReference w:id="4"/>
      </w:r>
      <w:r>
        <w:rPr>
          <w:rFonts w:hint="eastAsia" w:ascii="仿宋_GB2312" w:hAnsi="仿宋_GB2312" w:eastAsia="仿宋_GB2312" w:cs="仿宋_GB2312"/>
          <w:sz w:val="32"/>
          <w:szCs w:val="32"/>
          <w:lang w:val="en-US" w:eastAsia="zh-CN"/>
        </w:rPr>
        <w:t>。</w:t>
      </w:r>
    </w:p>
    <w:p w14:paraId="3BD9917D">
      <w:pPr>
        <w:keepNext w:val="0"/>
        <w:keepLines w:val="0"/>
        <w:pageBreakBefore w:val="0"/>
        <w:widowControl w:val="0"/>
        <w:numPr>
          <w:ilvl w:val="0"/>
          <w:numId w:val="2"/>
        </w:numPr>
        <w:kinsoku/>
        <w:wordWrap/>
        <w:topLinePunct w:val="0"/>
        <w:bidi w:val="0"/>
        <w:spacing w:line="560" w:lineRule="exact"/>
        <w:ind w:left="0" w:leftChars="0" w:firstLine="643" w:firstLineChars="200"/>
        <w:textAlignment w:val="auto"/>
        <w:rPr>
          <w:rFonts w:hint="eastAsia" w:ascii="仿宋_GB2312" w:hAnsi="Calibri" w:eastAsia="仿宋_GB2312" w:cstheme="minorBidi"/>
          <w:b/>
          <w:bCs/>
          <w:color w:val="000000"/>
          <w:kern w:val="2"/>
          <w:sz w:val="32"/>
          <w:szCs w:val="22"/>
          <w:lang w:val="en-US" w:eastAsia="zh-CN" w:bidi="ar-SA"/>
        </w:rPr>
      </w:pPr>
      <w:r>
        <w:rPr>
          <w:rFonts w:hint="eastAsia" w:ascii="仿宋_GB2312" w:hAnsi="Calibri" w:eastAsia="仿宋_GB2312" w:cstheme="minorBidi"/>
          <w:b/>
          <w:bCs/>
          <w:color w:val="000000"/>
          <w:kern w:val="2"/>
          <w:sz w:val="32"/>
          <w:szCs w:val="22"/>
          <w:lang w:val="en-US" w:eastAsia="zh-CN" w:bidi="ar-SA"/>
        </w:rPr>
        <w:t>现场安全管理不到位</w:t>
      </w:r>
    </w:p>
    <w:p w14:paraId="6B14FD1F">
      <w:pPr>
        <w:keepNext w:val="0"/>
        <w:keepLines w:val="0"/>
        <w:pageBreakBefore w:val="0"/>
        <w:widowControl w:val="0"/>
        <w:numPr>
          <w:ilvl w:val="0"/>
          <w:numId w:val="0"/>
        </w:numPr>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现场作业监督管理不到位，对作业现场风险研判不足，未按规定设置警示标识</w:t>
      </w:r>
      <w:r>
        <w:rPr>
          <w:rStyle w:val="17"/>
          <w:rFonts w:hint="eastAsia" w:ascii="仿宋_GB2312" w:hAnsi="仿宋_GB2312" w:eastAsia="仿宋_GB2312" w:cs="仿宋_GB2312"/>
          <w:sz w:val="32"/>
          <w:szCs w:val="32"/>
          <w:lang w:val="en-US" w:eastAsia="zh-CN"/>
        </w:rPr>
        <w:footnoteReference w:id="5"/>
      </w:r>
      <w:r>
        <w:rPr>
          <w:rFonts w:hint="eastAsia" w:ascii="仿宋_GB2312" w:hAnsi="仿宋_GB2312" w:eastAsia="仿宋_GB2312" w:cs="仿宋_GB2312"/>
          <w:sz w:val="32"/>
          <w:szCs w:val="32"/>
          <w:lang w:val="en-US" w:eastAsia="zh-CN"/>
        </w:rPr>
        <w:t>，对作业现场照明不足等因素未采取有效措施保证安全施工；对施工人员违规操作失察失管，未及时发现和制止作业人员通过地面孔洞传运材料的违章行为。对作业现场巡查管理不到位，未及时发现和恢复被拆除的防护措施，导致产生事故隐患。</w:t>
      </w:r>
    </w:p>
    <w:p w14:paraId="0A82A821">
      <w:pPr>
        <w:keepNext w:val="0"/>
        <w:keepLines w:val="0"/>
        <w:pageBreakBefore w:val="0"/>
        <w:widowControl w:val="0"/>
        <w:numPr>
          <w:ilvl w:val="0"/>
          <w:numId w:val="2"/>
        </w:numPr>
        <w:kinsoku/>
        <w:wordWrap/>
        <w:topLinePunct w:val="0"/>
        <w:bidi w:val="0"/>
        <w:spacing w:line="560" w:lineRule="exact"/>
        <w:ind w:left="0" w:leftChars="0"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Calibri" w:eastAsia="仿宋_GB2312" w:cstheme="minorBidi"/>
          <w:b/>
          <w:bCs/>
          <w:color w:val="000000"/>
          <w:kern w:val="2"/>
          <w:sz w:val="32"/>
          <w:szCs w:val="22"/>
          <w:lang w:val="en-US" w:eastAsia="zh-CN" w:bidi="ar-SA"/>
        </w:rPr>
        <w:t>未按规定报告事故信息</w:t>
      </w:r>
    </w:p>
    <w:p w14:paraId="35759924">
      <w:pPr>
        <w:keepNext w:val="0"/>
        <w:keepLines w:val="0"/>
        <w:pageBreakBefore w:val="0"/>
        <w:widowControl w:val="0"/>
        <w:numPr>
          <w:ilvl w:val="0"/>
          <w:numId w:val="0"/>
        </w:numPr>
        <w:kinsoku/>
        <w:wordWrap/>
        <w:topLinePunct w:val="0"/>
        <w:bidi w:val="0"/>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湖北鑫佳铭和发生事故后，未在规定时间内向当地安全生产监督管理部门报告事故，善后处理完成后，隐瞒事故。</w:t>
      </w:r>
    </w:p>
    <w:p w14:paraId="291B64DD">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5" w:name="_Toc7603"/>
      <w:r>
        <w:rPr>
          <w:rFonts w:hint="eastAsia" w:ascii="楷体_GB2312" w:hAnsi="楷体_GB2312" w:eastAsia="楷体_GB2312" w:cs="楷体_GB2312"/>
          <w:b/>
          <w:bCs/>
          <w:kern w:val="2"/>
          <w:sz w:val="32"/>
          <w:szCs w:val="32"/>
          <w:lang w:val="en-US" w:eastAsia="zh-CN" w:bidi="ar-SA"/>
        </w:rPr>
        <w:t>（二）有关人员存在的问题</w:t>
      </w:r>
      <w:bookmarkEnd w:id="35"/>
    </w:p>
    <w:p w14:paraId="49DF2F10">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Calibri" w:eastAsia="仿宋_GB2312" w:cstheme="minorBidi"/>
          <w:b/>
          <w:bCs/>
          <w:color w:val="000000"/>
          <w:kern w:val="2"/>
          <w:sz w:val="32"/>
          <w:szCs w:val="22"/>
          <w:lang w:val="en-US" w:eastAsia="zh-CN" w:bidi="ar-SA"/>
        </w:rPr>
        <w:t>1.</w:t>
      </w:r>
      <w:r>
        <w:rPr>
          <w:rFonts w:hint="eastAsia" w:hAnsi="仿宋_GB2312" w:cs="仿宋_GB2312"/>
          <w:b/>
          <w:bCs/>
          <w:sz w:val="32"/>
          <w:szCs w:val="32"/>
          <w:lang w:val="en-US" w:eastAsia="zh-CN"/>
        </w:rPr>
        <w:t>祝某某</w:t>
      </w:r>
      <w:r>
        <w:rPr>
          <w:rFonts w:hint="eastAsia" w:hAnsi="仿宋_GB2312" w:cs="仿宋_GB2312"/>
          <w:sz w:val="32"/>
          <w:szCs w:val="32"/>
          <w:lang w:val="en-US" w:eastAsia="zh-CN"/>
        </w:rPr>
        <w:t>，</w:t>
      </w:r>
      <w:r>
        <w:rPr>
          <w:rFonts w:hint="eastAsia" w:ascii="仿宋_GB2312" w:hAnsi="仿宋_GB2312" w:eastAsia="仿宋_GB2312" w:cs="仿宋_GB2312"/>
          <w:sz w:val="32"/>
          <w:szCs w:val="32"/>
          <w:lang w:val="en-US" w:eastAsia="zh-CN"/>
        </w:rPr>
        <w:t>湖北鑫佳铭和主要负责人</w:t>
      </w:r>
      <w:r>
        <w:rPr>
          <w:rFonts w:hint="eastAsia" w:hAnsi="仿宋_GB2312" w:cs="仿宋_GB2312"/>
          <w:sz w:val="32"/>
          <w:szCs w:val="32"/>
          <w:lang w:val="en-US" w:eastAsia="zh-CN"/>
        </w:rPr>
        <w:t>，未落实主要负责人安全生产管理职责，</w:t>
      </w:r>
      <w:r>
        <w:rPr>
          <w:rFonts w:hint="default" w:ascii="仿宋_GB2312" w:hAnsi="Calibri" w:eastAsia="仿宋_GB2312" w:cstheme="minorBidi"/>
          <w:color w:val="000000"/>
          <w:kern w:val="2"/>
          <w:sz w:val="32"/>
          <w:szCs w:val="22"/>
          <w:lang w:val="en-US" w:eastAsia="zh-CN" w:bidi="ar-SA"/>
        </w:rPr>
        <w:t>未督促、检查本单位的安全生产工作，及时消除生产安全事故隐患</w:t>
      </w:r>
      <w:r>
        <w:rPr>
          <w:rStyle w:val="17"/>
          <w:rFonts w:hint="eastAsia" w:ascii="仿宋_GB2312" w:hAnsi="仿宋_GB2312" w:eastAsia="仿宋_GB2312" w:cs="仿宋_GB2312"/>
          <w:kern w:val="2"/>
          <w:sz w:val="32"/>
          <w:szCs w:val="32"/>
          <w:lang w:val="en-US" w:eastAsia="zh-CN" w:bidi="ar-SA"/>
        </w:rPr>
        <w:footnoteReference w:id="6"/>
      </w:r>
      <w:r>
        <w:rPr>
          <w:rFonts w:hint="eastAsia" w:cstheme="minorBidi"/>
          <w:color w:val="000000"/>
          <w:kern w:val="2"/>
          <w:sz w:val="32"/>
          <w:szCs w:val="22"/>
          <w:lang w:val="en-US" w:eastAsia="zh-CN" w:bidi="ar-SA"/>
        </w:rPr>
        <w:t>；</w:t>
      </w:r>
      <w:r>
        <w:rPr>
          <w:rFonts w:hint="eastAsia" w:hAnsi="仿宋_GB2312" w:cs="仿宋_GB2312"/>
          <w:sz w:val="32"/>
          <w:szCs w:val="32"/>
          <w:lang w:val="en-US" w:eastAsia="zh-CN"/>
        </w:rPr>
        <w:t>事故发生后</w:t>
      </w:r>
      <w:r>
        <w:rPr>
          <w:rFonts w:hint="eastAsia" w:ascii="仿宋_GB2312" w:hAnsi="仿宋_GB2312" w:eastAsia="仿宋_GB2312" w:cs="仿宋_GB2312"/>
          <w:sz w:val="32"/>
          <w:szCs w:val="32"/>
          <w:lang w:val="en-US" w:eastAsia="zh-CN"/>
        </w:rPr>
        <w:t>，未按规定</w:t>
      </w:r>
      <w:r>
        <w:rPr>
          <w:rFonts w:hint="eastAsia" w:hAnsi="仿宋_GB2312" w:cs="仿宋_GB2312"/>
          <w:sz w:val="32"/>
          <w:szCs w:val="32"/>
          <w:lang w:val="en-US" w:eastAsia="zh-CN"/>
        </w:rPr>
        <w:t>及时、</w:t>
      </w:r>
      <w:r>
        <w:rPr>
          <w:rFonts w:hint="eastAsia" w:ascii="仿宋_GB2312" w:hAnsi="仿宋_GB2312" w:eastAsia="仿宋_GB2312" w:cs="仿宋_GB2312"/>
          <w:sz w:val="32"/>
          <w:szCs w:val="32"/>
          <w:lang w:val="en-US" w:eastAsia="zh-CN"/>
        </w:rPr>
        <w:t>如实报告</w:t>
      </w:r>
      <w:r>
        <w:rPr>
          <w:rFonts w:hint="eastAsia" w:hAnsi="仿宋_GB2312" w:cs="仿宋_GB2312"/>
          <w:sz w:val="32"/>
          <w:szCs w:val="32"/>
          <w:lang w:val="en-US" w:eastAsia="zh-CN"/>
        </w:rPr>
        <w:t>安全生产事故，且善后处置完毕后，</w:t>
      </w:r>
      <w:r>
        <w:rPr>
          <w:rFonts w:hint="eastAsia" w:hAnsi="仿宋_GB2312" w:cs="仿宋_GB2312"/>
          <w:kern w:val="2"/>
          <w:sz w:val="32"/>
          <w:szCs w:val="32"/>
          <w:lang w:val="en-US" w:eastAsia="zh-CN" w:bidi="ar-SA"/>
        </w:rPr>
        <w:t>隐瞒事故不报</w:t>
      </w:r>
      <w:r>
        <w:rPr>
          <w:rStyle w:val="17"/>
          <w:rFonts w:hint="eastAsia" w:ascii="仿宋_GB2312" w:hAnsi="仿宋_GB2312" w:eastAsia="仿宋_GB2312" w:cs="仿宋_GB2312"/>
          <w:sz w:val="32"/>
          <w:szCs w:val="32"/>
          <w:lang w:val="en-US" w:eastAsia="zh-CN"/>
        </w:rPr>
        <w:footnoteReference w:id="7"/>
      </w:r>
      <w:r>
        <w:rPr>
          <w:rFonts w:hint="eastAsia" w:hAnsi="仿宋_GB2312" w:cs="仿宋_GB2312"/>
          <w:sz w:val="32"/>
          <w:szCs w:val="32"/>
          <w:lang w:val="en-US" w:eastAsia="zh-CN"/>
        </w:rPr>
        <w:t>。</w:t>
      </w:r>
    </w:p>
    <w:p w14:paraId="1CCD9F34">
      <w:pPr>
        <w:pStyle w:val="12"/>
        <w:keepNext w:val="0"/>
        <w:keepLines w:val="0"/>
        <w:pageBreakBefore w:val="0"/>
        <w:widowControl w:val="0"/>
        <w:numPr>
          <w:ilvl w:val="0"/>
          <w:numId w:val="0"/>
        </w:numPr>
        <w:kinsoku/>
        <w:wordWrap/>
        <w:overflowPunct/>
        <w:topLinePunct w:val="0"/>
        <w:autoSpaceDE/>
        <w:autoSpaceDN/>
        <w:bidi w:val="0"/>
        <w:snapToGrid/>
        <w:spacing w:line="560" w:lineRule="exact"/>
        <w:ind w:firstLine="643"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Calibri" w:eastAsia="仿宋_GB2312" w:cstheme="minorBidi"/>
          <w:b/>
          <w:bCs/>
          <w:color w:val="000000"/>
          <w:kern w:val="2"/>
          <w:sz w:val="32"/>
          <w:szCs w:val="22"/>
          <w:lang w:val="en-US" w:eastAsia="zh-CN" w:bidi="ar-SA"/>
        </w:rPr>
        <w:t>2.</w:t>
      </w:r>
      <w:r>
        <w:rPr>
          <w:rFonts w:hint="eastAsia" w:cstheme="minorBidi"/>
          <w:b/>
          <w:bCs/>
          <w:color w:val="000000"/>
          <w:kern w:val="2"/>
          <w:sz w:val="32"/>
          <w:szCs w:val="22"/>
          <w:lang w:val="en-US" w:eastAsia="zh-CN" w:bidi="ar-SA"/>
        </w:rPr>
        <w:t>邓某某，</w:t>
      </w:r>
      <w:r>
        <w:rPr>
          <w:rFonts w:hint="eastAsia" w:ascii="仿宋_GB2312" w:hAnsi="仿宋_GB2312" w:eastAsia="仿宋_GB2312" w:cs="仿宋_GB2312"/>
          <w:kern w:val="2"/>
          <w:sz w:val="32"/>
          <w:szCs w:val="32"/>
          <w:lang w:val="en-US" w:eastAsia="zh-CN" w:bidi="ar-SA"/>
        </w:rPr>
        <w:t>中交一航局</w:t>
      </w:r>
      <w:r>
        <w:rPr>
          <w:rFonts w:hint="eastAsia" w:hAnsi="仿宋_GB2312" w:cs="仿宋_GB2312"/>
          <w:kern w:val="2"/>
          <w:sz w:val="32"/>
          <w:szCs w:val="32"/>
          <w:lang w:val="en-US" w:eastAsia="zh-CN" w:bidi="ar-SA"/>
        </w:rPr>
        <w:t>二</w:t>
      </w:r>
      <w:r>
        <w:rPr>
          <w:rFonts w:hint="eastAsia" w:ascii="仿宋_GB2312" w:hAnsi="仿宋_GB2312" w:eastAsia="仿宋_GB2312" w:cs="仿宋_GB2312"/>
          <w:kern w:val="2"/>
          <w:sz w:val="32"/>
          <w:szCs w:val="32"/>
          <w:lang w:val="en-US" w:eastAsia="zh-CN" w:bidi="ar-SA"/>
        </w:rPr>
        <w:t>公司</w:t>
      </w:r>
      <w:r>
        <w:rPr>
          <w:rFonts w:hint="eastAsia" w:hAnsi="仿宋_GB2312" w:cs="仿宋_GB2312"/>
          <w:kern w:val="2"/>
          <w:sz w:val="32"/>
          <w:szCs w:val="32"/>
          <w:lang w:val="en-US" w:eastAsia="zh-CN" w:bidi="ar-SA"/>
        </w:rPr>
        <w:t>长投云玺项目现场负责人，在</w:t>
      </w:r>
      <w:r>
        <w:rPr>
          <w:rFonts w:hint="eastAsia" w:ascii="仿宋_GB2312" w:hAnsi="仿宋_GB2312" w:eastAsia="仿宋_GB2312" w:cs="仿宋_GB2312"/>
          <w:kern w:val="2"/>
          <w:sz w:val="32"/>
          <w:szCs w:val="32"/>
          <w:lang w:val="en-US" w:eastAsia="zh-CN" w:bidi="ar-SA"/>
        </w:rPr>
        <w:t>知晓</w:t>
      </w:r>
      <w:r>
        <w:rPr>
          <w:rFonts w:hint="eastAsia" w:hAnsi="仿宋_GB2312" w:cs="仿宋_GB2312"/>
          <w:kern w:val="2"/>
          <w:sz w:val="32"/>
          <w:szCs w:val="32"/>
          <w:lang w:val="en-US" w:eastAsia="zh-CN" w:bidi="ar-SA"/>
        </w:rPr>
        <w:t>发生</w:t>
      </w:r>
      <w:r>
        <w:rPr>
          <w:rFonts w:hint="eastAsia" w:ascii="仿宋_GB2312" w:hAnsi="仿宋_GB2312" w:eastAsia="仿宋_GB2312" w:cs="仿宋_GB2312"/>
          <w:kern w:val="2"/>
          <w:sz w:val="32"/>
          <w:szCs w:val="32"/>
          <w:lang w:val="en-US" w:eastAsia="zh-CN" w:bidi="ar-SA"/>
        </w:rPr>
        <w:t>事故后，因担心事故给项目建设及自身</w:t>
      </w:r>
      <w:r>
        <w:rPr>
          <w:rFonts w:hint="eastAsia" w:hAnsi="仿宋_GB2312" w:cs="仿宋_GB2312"/>
          <w:kern w:val="2"/>
          <w:sz w:val="32"/>
          <w:szCs w:val="32"/>
          <w:lang w:val="en-US" w:eastAsia="zh-CN" w:bidi="ar-SA"/>
        </w:rPr>
        <w:t>职务晋升</w:t>
      </w:r>
      <w:r>
        <w:rPr>
          <w:rFonts w:hint="eastAsia" w:ascii="仿宋_GB2312" w:hAnsi="仿宋_GB2312" w:eastAsia="仿宋_GB2312" w:cs="仿宋_GB2312"/>
          <w:kern w:val="2"/>
          <w:sz w:val="32"/>
          <w:szCs w:val="32"/>
          <w:lang w:val="en-US" w:eastAsia="zh-CN" w:bidi="ar-SA"/>
        </w:rPr>
        <w:t>带来不利影响，</w:t>
      </w:r>
      <w:r>
        <w:rPr>
          <w:rFonts w:hint="eastAsia" w:hAnsi="仿宋_GB2312" w:cs="仿宋_GB2312"/>
          <w:kern w:val="2"/>
          <w:sz w:val="32"/>
          <w:szCs w:val="32"/>
          <w:lang w:val="en-US" w:eastAsia="zh-CN" w:bidi="ar-SA"/>
        </w:rPr>
        <w:t>隐瞒事故不报</w:t>
      </w:r>
      <w:r>
        <w:rPr>
          <w:rStyle w:val="17"/>
          <w:rFonts w:hint="eastAsia" w:ascii="仿宋_GB2312" w:hAnsi="仿宋_GB2312" w:eastAsia="仿宋_GB2312" w:cs="仿宋_GB2312"/>
          <w:kern w:val="2"/>
          <w:sz w:val="32"/>
          <w:szCs w:val="32"/>
          <w:lang w:val="en-US" w:eastAsia="zh-CN" w:bidi="ar-SA"/>
        </w:rPr>
        <w:footnoteReference w:id="8"/>
      </w:r>
      <w:r>
        <w:rPr>
          <w:rFonts w:hint="eastAsia" w:ascii="仿宋_GB2312" w:hAnsi="仿宋_GB2312" w:eastAsia="仿宋_GB2312" w:cs="仿宋_GB2312"/>
          <w:kern w:val="2"/>
          <w:sz w:val="32"/>
          <w:szCs w:val="32"/>
          <w:lang w:val="en-US" w:eastAsia="zh-CN" w:bidi="ar-SA"/>
        </w:rPr>
        <w:t>。</w:t>
      </w:r>
    </w:p>
    <w:p w14:paraId="288DE285">
      <w:pPr>
        <w:pStyle w:val="1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eastAsia" w:ascii="黑体" w:hAnsi="黑体" w:eastAsia="黑体" w:cs="黑体"/>
          <w:b/>
          <w:bCs/>
          <w:sz w:val="32"/>
          <w:szCs w:val="32"/>
          <w:lang w:val="en-US" w:eastAsia="zh-CN"/>
        </w:rPr>
      </w:pPr>
      <w:bookmarkStart w:id="36" w:name="_Toc23396"/>
      <w:r>
        <w:rPr>
          <w:rFonts w:hint="eastAsia" w:ascii="黑体" w:hAnsi="黑体" w:eastAsia="黑体" w:cs="黑体"/>
          <w:b/>
          <w:bCs/>
          <w:sz w:val="32"/>
          <w:szCs w:val="32"/>
          <w:lang w:val="en-US" w:eastAsia="zh-CN"/>
        </w:rPr>
        <w:t>对有关责任人员和责任单位的处理建议</w:t>
      </w:r>
      <w:bookmarkEnd w:id="36"/>
    </w:p>
    <w:p w14:paraId="44A8E604">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37" w:name="_Toc4292"/>
      <w:r>
        <w:rPr>
          <w:rFonts w:hint="eastAsia" w:ascii="楷体_GB2312" w:hAnsi="楷体_GB2312" w:eastAsia="楷体_GB2312" w:cs="楷体_GB2312"/>
          <w:b/>
          <w:bCs/>
          <w:kern w:val="2"/>
          <w:sz w:val="32"/>
          <w:szCs w:val="32"/>
          <w:lang w:val="en-US" w:eastAsia="zh-CN" w:bidi="ar-SA"/>
        </w:rPr>
        <w:t>（一）对事故有关责任人员的处理建议</w:t>
      </w:r>
      <w:bookmarkEnd w:id="37"/>
    </w:p>
    <w:p w14:paraId="33EB1607">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b/>
          <w:bCs/>
          <w:color w:val="000000"/>
          <w:kern w:val="2"/>
          <w:sz w:val="32"/>
          <w:szCs w:val="22"/>
          <w:lang w:val="en-US" w:eastAsia="zh-CN" w:bidi="ar-SA"/>
        </w:rPr>
        <w:t>1.</w:t>
      </w:r>
      <w:r>
        <w:rPr>
          <w:rFonts w:hint="eastAsia" w:cstheme="minorBidi"/>
          <w:b/>
          <w:bCs/>
          <w:color w:val="000000"/>
          <w:kern w:val="2"/>
          <w:sz w:val="32"/>
          <w:szCs w:val="22"/>
          <w:lang w:val="en-US" w:eastAsia="zh-CN" w:bidi="ar-SA"/>
        </w:rPr>
        <w:t>祝某某</w:t>
      </w:r>
      <w:r>
        <w:rPr>
          <w:rFonts w:hint="eastAsia" w:ascii="仿宋_GB2312" w:hAnsi="Calibri" w:eastAsia="仿宋_GB2312" w:cstheme="minorBidi"/>
          <w:color w:val="000000"/>
          <w:kern w:val="2"/>
          <w:sz w:val="32"/>
          <w:szCs w:val="22"/>
          <w:lang w:val="en-US" w:eastAsia="zh-CN" w:bidi="ar-SA"/>
        </w:rPr>
        <w:t>，</w:t>
      </w:r>
      <w:r>
        <w:rPr>
          <w:rFonts w:hint="eastAsia" w:hAnsi="仿宋_GB2312" w:cs="仿宋_GB2312"/>
          <w:sz w:val="32"/>
          <w:szCs w:val="32"/>
          <w:lang w:val="en-US" w:eastAsia="zh-CN"/>
        </w:rPr>
        <w:t>湖北鑫佳铭和建设工程有限公司</w:t>
      </w:r>
      <w:r>
        <w:rPr>
          <w:rFonts w:hint="eastAsia" w:ascii="仿宋_GB2312" w:hAnsi="Calibri" w:eastAsia="仿宋_GB2312" w:cstheme="minorBidi"/>
          <w:color w:val="000000"/>
          <w:kern w:val="2"/>
          <w:sz w:val="32"/>
          <w:szCs w:val="22"/>
          <w:lang w:val="en-US" w:eastAsia="zh-CN" w:bidi="ar-SA"/>
        </w:rPr>
        <w:t>法定代表人</w:t>
      </w:r>
      <w:r>
        <w:rPr>
          <w:rFonts w:hint="eastAsia" w:cstheme="minorBidi"/>
          <w:color w:val="000000"/>
          <w:kern w:val="2"/>
          <w:sz w:val="32"/>
          <w:szCs w:val="22"/>
          <w:lang w:val="en-US" w:eastAsia="zh-CN" w:bidi="ar-SA"/>
        </w:rPr>
        <w:t>、</w:t>
      </w:r>
      <w:bookmarkStart w:id="46" w:name="_GoBack"/>
      <w:bookmarkEnd w:id="46"/>
      <w:r>
        <w:rPr>
          <w:rFonts w:hint="eastAsia" w:ascii="仿宋_GB2312" w:hAnsi="Calibri" w:eastAsia="仿宋_GB2312" w:cstheme="minorBidi"/>
          <w:color w:val="000000"/>
          <w:kern w:val="2"/>
          <w:sz w:val="32"/>
          <w:szCs w:val="22"/>
          <w:lang w:val="en-US" w:eastAsia="zh-CN" w:bidi="ar-SA"/>
        </w:rPr>
        <w:t>主要负责人，</w:t>
      </w:r>
      <w:r>
        <w:rPr>
          <w:rFonts w:hint="eastAsia" w:cstheme="minorBidi"/>
          <w:color w:val="000000"/>
          <w:kern w:val="2"/>
          <w:sz w:val="32"/>
          <w:szCs w:val="22"/>
          <w:lang w:val="en-US" w:eastAsia="zh-CN" w:bidi="ar-SA"/>
        </w:rPr>
        <w:t>全面负责公司管理工作，</w:t>
      </w:r>
      <w:r>
        <w:rPr>
          <w:rFonts w:hint="eastAsia" w:ascii="仿宋_GB2312" w:hAnsi="Calibri" w:eastAsia="仿宋_GB2312" w:cstheme="minorBidi"/>
          <w:color w:val="000000"/>
          <w:kern w:val="2"/>
          <w:sz w:val="32"/>
          <w:szCs w:val="22"/>
          <w:lang w:val="en-US" w:eastAsia="zh-CN" w:bidi="ar-SA"/>
        </w:rPr>
        <w:t>未</w:t>
      </w:r>
      <w:r>
        <w:rPr>
          <w:rFonts w:hint="default" w:ascii="仿宋_GB2312" w:hAnsi="Calibri" w:eastAsia="仿宋_GB2312" w:cstheme="minorBidi"/>
          <w:color w:val="000000"/>
          <w:kern w:val="2"/>
          <w:sz w:val="32"/>
          <w:szCs w:val="22"/>
          <w:lang w:val="en-US" w:eastAsia="zh-CN" w:bidi="ar-SA"/>
        </w:rPr>
        <w:t>落实安全风险分级管控和隐患排查治理双重预防工作机制</w:t>
      </w:r>
      <w:r>
        <w:rPr>
          <w:rFonts w:hint="eastAsia" w:ascii="仿宋_GB2312" w:hAnsi="Calibri" w:eastAsia="仿宋_GB2312" w:cstheme="minorBidi"/>
          <w:color w:val="000000"/>
          <w:kern w:val="2"/>
          <w:sz w:val="32"/>
          <w:szCs w:val="22"/>
          <w:lang w:val="en-US" w:eastAsia="zh-CN" w:bidi="ar-SA"/>
        </w:rPr>
        <w:t>要求</w:t>
      </w:r>
      <w:r>
        <w:rPr>
          <w:rFonts w:hint="default" w:ascii="仿宋_GB2312" w:hAnsi="Calibri" w:eastAsia="仿宋_GB2312" w:cstheme="minorBidi"/>
          <w:color w:val="000000"/>
          <w:kern w:val="2"/>
          <w:sz w:val="32"/>
          <w:szCs w:val="22"/>
          <w:lang w:val="en-US" w:eastAsia="zh-CN" w:bidi="ar-SA"/>
        </w:rPr>
        <w:t>，未督促、检查本单位的安全生产工作，及时消除生产安全事故隐患，导致事故发生</w:t>
      </w:r>
      <w:r>
        <w:rPr>
          <w:rFonts w:hint="eastAsia" w:cstheme="minorBidi"/>
          <w:color w:val="000000"/>
          <w:kern w:val="2"/>
          <w:sz w:val="32"/>
          <w:szCs w:val="22"/>
          <w:lang w:val="en-US" w:eastAsia="zh-CN" w:bidi="ar-SA"/>
        </w:rPr>
        <w:t>；接到事故报告后，未按规定报告事故信息，隐瞒事故情况，违反《中华人民共和国</w:t>
      </w:r>
      <w:r>
        <w:rPr>
          <w:rFonts w:hint="eastAsia" w:ascii="仿宋_GB2312" w:hAnsi="Calibri" w:eastAsia="仿宋_GB2312" w:cstheme="minorBidi"/>
          <w:color w:val="000000"/>
          <w:kern w:val="2"/>
          <w:sz w:val="32"/>
          <w:szCs w:val="22"/>
          <w:lang w:val="en-US" w:eastAsia="zh-CN" w:bidi="ar-SA"/>
        </w:rPr>
        <w:t>安全生产</w:t>
      </w:r>
      <w:r>
        <w:rPr>
          <w:rFonts w:hint="eastAsia" w:cstheme="minorBidi"/>
          <w:color w:val="000000"/>
          <w:kern w:val="2"/>
          <w:sz w:val="32"/>
          <w:szCs w:val="22"/>
          <w:lang w:val="en-US" w:eastAsia="zh-CN" w:bidi="ar-SA"/>
        </w:rPr>
        <w:t>法》第二十一条、第八十三条的规定，</w:t>
      </w:r>
      <w:r>
        <w:rPr>
          <w:rFonts w:hint="default" w:ascii="仿宋_GB2312" w:hAnsi="Calibri" w:eastAsia="仿宋_GB2312" w:cstheme="minorBidi"/>
          <w:color w:val="000000"/>
          <w:kern w:val="2"/>
          <w:sz w:val="32"/>
          <w:szCs w:val="22"/>
          <w:lang w:val="en-US" w:eastAsia="zh-CN" w:bidi="ar-SA"/>
        </w:rPr>
        <w:t>建议由江汉区应急管理局依据</w:t>
      </w:r>
      <w:r>
        <w:rPr>
          <w:rFonts w:hint="eastAsia" w:cstheme="minorBidi"/>
          <w:color w:val="000000"/>
          <w:kern w:val="2"/>
          <w:sz w:val="32"/>
          <w:szCs w:val="22"/>
          <w:lang w:val="en-US" w:eastAsia="zh-CN" w:bidi="ar-SA"/>
        </w:rPr>
        <w:t>《中华人民共和国</w:t>
      </w:r>
      <w:r>
        <w:rPr>
          <w:rFonts w:hint="eastAsia" w:ascii="仿宋_GB2312" w:hAnsi="Calibri" w:eastAsia="仿宋_GB2312" w:cstheme="minorBidi"/>
          <w:color w:val="000000"/>
          <w:kern w:val="2"/>
          <w:sz w:val="32"/>
          <w:szCs w:val="22"/>
          <w:lang w:val="en-US" w:eastAsia="zh-CN" w:bidi="ar-SA"/>
        </w:rPr>
        <w:t>安全生产</w:t>
      </w:r>
      <w:r>
        <w:rPr>
          <w:rFonts w:hint="eastAsia" w:cstheme="minorBidi"/>
          <w:color w:val="000000"/>
          <w:kern w:val="2"/>
          <w:sz w:val="32"/>
          <w:szCs w:val="22"/>
          <w:lang w:val="en-US" w:eastAsia="zh-CN" w:bidi="ar-SA"/>
        </w:rPr>
        <w:t>法》</w:t>
      </w:r>
      <w:r>
        <w:rPr>
          <w:rFonts w:hint="default" w:ascii="仿宋_GB2312" w:hAnsi="Calibri" w:eastAsia="仿宋_GB2312" w:cstheme="minorBidi"/>
          <w:color w:val="000000"/>
          <w:kern w:val="2"/>
          <w:sz w:val="32"/>
          <w:szCs w:val="22"/>
          <w:lang w:val="en-US" w:eastAsia="zh-CN" w:bidi="ar-SA"/>
        </w:rPr>
        <w:t>相关</w:t>
      </w:r>
      <w:r>
        <w:rPr>
          <w:rFonts w:hint="eastAsia" w:cstheme="minorBidi"/>
          <w:color w:val="000000"/>
          <w:kern w:val="2"/>
          <w:sz w:val="32"/>
          <w:szCs w:val="22"/>
          <w:lang w:val="en-US" w:eastAsia="zh-CN" w:bidi="ar-SA"/>
        </w:rPr>
        <w:t>规定</w:t>
      </w:r>
      <w:r>
        <w:rPr>
          <w:rFonts w:hint="default" w:ascii="仿宋_GB2312" w:hAnsi="Calibri" w:eastAsia="仿宋_GB2312" w:cstheme="minorBidi"/>
          <w:color w:val="000000"/>
          <w:kern w:val="2"/>
          <w:sz w:val="32"/>
          <w:szCs w:val="22"/>
          <w:lang w:val="en-US" w:eastAsia="zh-CN" w:bidi="ar-SA"/>
        </w:rPr>
        <w:t>对其</w:t>
      </w:r>
      <w:r>
        <w:rPr>
          <w:rFonts w:hint="eastAsia" w:cstheme="minorBidi"/>
          <w:color w:val="000000"/>
          <w:kern w:val="2"/>
          <w:sz w:val="32"/>
          <w:szCs w:val="22"/>
          <w:lang w:val="en-US" w:eastAsia="zh-CN" w:bidi="ar-SA"/>
        </w:rPr>
        <w:t>处以罚款的</w:t>
      </w:r>
      <w:r>
        <w:rPr>
          <w:rFonts w:hint="default" w:ascii="仿宋_GB2312" w:hAnsi="Calibri" w:eastAsia="仿宋_GB2312" w:cstheme="minorBidi"/>
          <w:color w:val="000000"/>
          <w:kern w:val="2"/>
          <w:sz w:val="32"/>
          <w:szCs w:val="22"/>
          <w:lang w:val="en-US" w:eastAsia="zh-CN" w:bidi="ar-SA"/>
        </w:rPr>
        <w:t>行政处罚。</w:t>
      </w:r>
    </w:p>
    <w:p w14:paraId="20A22F26">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240" w:lineRule="auto"/>
        <w:ind w:firstLine="643" w:firstLineChars="200"/>
        <w:textAlignment w:val="auto"/>
        <w:outlineLvl w:val="1"/>
        <w:rPr>
          <w:rFonts w:hint="default" w:ascii="仿宋_GB2312" w:hAnsi="Calibri" w:eastAsia="仿宋_GB2312" w:cstheme="minorBidi"/>
          <w:color w:val="000000"/>
          <w:kern w:val="2"/>
          <w:sz w:val="32"/>
          <w:szCs w:val="22"/>
          <w:lang w:val="en-US" w:eastAsia="zh-CN" w:bidi="ar-SA"/>
        </w:rPr>
      </w:pPr>
      <w:bookmarkStart w:id="38" w:name="_Toc2558"/>
      <w:bookmarkStart w:id="39" w:name="_Toc18015"/>
      <w:r>
        <w:rPr>
          <w:rFonts w:hint="eastAsia" w:ascii="仿宋_GB2312" w:hAnsi="Calibri" w:eastAsia="仿宋_GB2312" w:cstheme="minorBidi"/>
          <w:b/>
          <w:bCs/>
          <w:color w:val="000000"/>
          <w:kern w:val="2"/>
          <w:sz w:val="32"/>
          <w:szCs w:val="22"/>
          <w:lang w:val="en-US" w:eastAsia="zh-CN" w:bidi="ar-SA"/>
        </w:rPr>
        <w:t>2.邓某某，</w:t>
      </w:r>
      <w:r>
        <w:rPr>
          <w:rFonts w:hint="eastAsia" w:ascii="仿宋_GB2312" w:hAnsi="Calibri" w:eastAsia="仿宋_GB2312" w:cstheme="minorBidi"/>
          <w:color w:val="000000"/>
          <w:kern w:val="2"/>
          <w:sz w:val="32"/>
          <w:szCs w:val="22"/>
          <w:lang w:val="en-US" w:eastAsia="zh-CN" w:bidi="ar-SA"/>
        </w:rPr>
        <w:t>中交一航局第二工程有限公司长投云玺项目现场负责人，接到事故报告后，未按规定报告事故信息，隐瞒事故情况，违反《生产安全事故报告和调查处理条例》第四条的规定，</w:t>
      </w:r>
      <w:r>
        <w:rPr>
          <w:rFonts w:hint="default" w:ascii="仿宋_GB2312" w:hAnsi="Calibri" w:eastAsia="仿宋_GB2312" w:cstheme="minorBidi"/>
          <w:color w:val="000000"/>
          <w:kern w:val="2"/>
          <w:sz w:val="32"/>
          <w:szCs w:val="22"/>
          <w:lang w:val="en-US" w:eastAsia="zh-CN" w:bidi="ar-SA"/>
        </w:rPr>
        <w:t>建议由江汉区应急管理局依据</w:t>
      </w:r>
      <w:r>
        <w:rPr>
          <w:rFonts w:hint="eastAsia" w:ascii="仿宋_GB2312" w:hAnsi="Calibri" w:eastAsia="仿宋_GB2312" w:cstheme="minorBidi"/>
          <w:color w:val="000000"/>
          <w:kern w:val="2"/>
          <w:sz w:val="32"/>
          <w:szCs w:val="22"/>
          <w:lang w:val="en-US" w:eastAsia="zh-CN" w:bidi="ar-SA"/>
        </w:rPr>
        <w:t>《生产安全事故报告和调查处理条例》</w:t>
      </w:r>
      <w:r>
        <w:rPr>
          <w:rFonts w:hint="default" w:ascii="仿宋_GB2312" w:hAnsi="Calibri" w:eastAsia="仿宋_GB2312" w:cstheme="minorBidi"/>
          <w:color w:val="000000"/>
          <w:kern w:val="2"/>
          <w:sz w:val="32"/>
          <w:szCs w:val="22"/>
          <w:lang w:val="en-US" w:eastAsia="zh-CN" w:bidi="ar-SA"/>
        </w:rPr>
        <w:t>相关</w:t>
      </w:r>
      <w:r>
        <w:rPr>
          <w:rFonts w:hint="eastAsia" w:ascii="仿宋_GB2312" w:hAnsi="Calibri" w:eastAsia="仿宋_GB2312" w:cstheme="minorBidi"/>
          <w:color w:val="000000"/>
          <w:kern w:val="2"/>
          <w:sz w:val="32"/>
          <w:szCs w:val="22"/>
          <w:lang w:val="en-US" w:eastAsia="zh-CN" w:bidi="ar-SA"/>
        </w:rPr>
        <w:t>规定</w:t>
      </w:r>
      <w:r>
        <w:rPr>
          <w:rFonts w:hint="default" w:ascii="仿宋_GB2312" w:hAnsi="Calibri" w:eastAsia="仿宋_GB2312" w:cstheme="minorBidi"/>
          <w:color w:val="000000"/>
          <w:kern w:val="2"/>
          <w:sz w:val="32"/>
          <w:szCs w:val="22"/>
          <w:lang w:val="en-US" w:eastAsia="zh-CN" w:bidi="ar-SA"/>
        </w:rPr>
        <w:t>对其</w:t>
      </w:r>
      <w:r>
        <w:rPr>
          <w:rFonts w:hint="eastAsia" w:ascii="仿宋_GB2312" w:hAnsi="Calibri" w:eastAsia="仿宋_GB2312" w:cstheme="minorBidi"/>
          <w:color w:val="000000"/>
          <w:kern w:val="2"/>
          <w:sz w:val="32"/>
          <w:szCs w:val="22"/>
          <w:lang w:val="en-US" w:eastAsia="zh-CN" w:bidi="ar-SA"/>
        </w:rPr>
        <w:t>处以罚款的</w:t>
      </w:r>
      <w:r>
        <w:rPr>
          <w:rFonts w:hint="default" w:ascii="仿宋_GB2312" w:hAnsi="Calibri" w:eastAsia="仿宋_GB2312" w:cstheme="minorBidi"/>
          <w:color w:val="000000"/>
          <w:kern w:val="2"/>
          <w:sz w:val="32"/>
          <w:szCs w:val="22"/>
          <w:lang w:val="en-US" w:eastAsia="zh-CN" w:bidi="ar-SA"/>
        </w:rPr>
        <w:t>行政处罚。</w:t>
      </w:r>
      <w:bookmarkEnd w:id="38"/>
      <w:bookmarkEnd w:id="39"/>
    </w:p>
    <w:p w14:paraId="20CC8C3B">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40" w:name="_Toc25646"/>
      <w:r>
        <w:rPr>
          <w:rFonts w:hint="eastAsia" w:ascii="楷体_GB2312" w:hAnsi="楷体_GB2312" w:eastAsia="楷体_GB2312" w:cs="楷体_GB2312"/>
          <w:b/>
          <w:bCs/>
          <w:kern w:val="2"/>
          <w:sz w:val="32"/>
          <w:szCs w:val="32"/>
          <w:lang w:val="en-US" w:eastAsia="zh-CN" w:bidi="ar-SA"/>
        </w:rPr>
        <w:t>（二）对事故有关责任单位的处理建议</w:t>
      </w:r>
      <w:bookmarkEnd w:id="40"/>
    </w:p>
    <w:p w14:paraId="26DD98B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湖北鑫佳铭和建设工程有限公司</w:t>
      </w:r>
      <w:r>
        <w:rPr>
          <w:rFonts w:hint="eastAsia" w:ascii="仿宋_GB2312" w:hAnsi="仿宋_GB2312" w:eastAsia="仿宋_GB2312" w:cs="仿宋_GB2312"/>
          <w:sz w:val="32"/>
          <w:szCs w:val="32"/>
          <w:lang w:val="en-US" w:eastAsia="zh-CN"/>
        </w:rPr>
        <w:t>教育培训流于形式，未教育和督促从业人员严格执行本单位安全生产规章制度和安全操作规程</w:t>
      </w:r>
      <w:r>
        <w:rPr>
          <w:rFonts w:hint="eastAsia" w:ascii="仿宋_GB2312" w:hAnsi="Calibri" w:eastAsia="仿宋_GB2312" w:cstheme="minorBidi"/>
          <w:color w:val="000000"/>
          <w:kern w:val="2"/>
          <w:sz w:val="32"/>
          <w:szCs w:val="22"/>
          <w:lang w:val="en-US" w:eastAsia="zh-CN" w:bidi="ar-SA"/>
        </w:rPr>
        <w:t>。隐患排查治理存在漏洞，对临边防护管理缺失和不符合规范反复发生的风险，未研究制定有效措施，及时消除事故隐患，导致事故隐患屡改屡现。现场作业监督管理不到位，对作业现场风险研判不足，对作业现场照明不足未采取有效措施保证安全施工；对施工人员违规操作失察失管，未及时发现和制止作业人员通过地面孔洞传运材料的违章行为；对作业现场巡查不到位，致使被拆除的防护措施未及时得到恢复，导致事故隐患未及时消除。接到事故报告信息后，未按规定立即如实报告当地安全生产监督管理部门，隐瞒事故信息。其行为违反《中华人民共和国安全生产法》第三十五条、第四十一条、第四十四条，《生产安全事故报告和调查处理条例》第四条的规定，对事故的发生负有管理责任，且瞒报事故，建议由江汉区应急管理局依据《中华人民共和国安全生产法》、《生产安全事故报告和调查处理条例》等</w:t>
      </w:r>
      <w:r>
        <w:rPr>
          <w:rFonts w:hint="default" w:ascii="仿宋_GB2312" w:hAnsi="Calibri" w:eastAsia="仿宋_GB2312" w:cstheme="minorBidi"/>
          <w:color w:val="000000"/>
          <w:kern w:val="2"/>
          <w:sz w:val="32"/>
          <w:szCs w:val="22"/>
          <w:lang w:val="en-US" w:eastAsia="zh-CN" w:bidi="ar-SA"/>
        </w:rPr>
        <w:t>法律</w:t>
      </w:r>
      <w:r>
        <w:rPr>
          <w:rFonts w:hint="eastAsia" w:ascii="仿宋_GB2312" w:hAnsi="Calibri" w:eastAsia="仿宋_GB2312" w:cstheme="minorBidi"/>
          <w:color w:val="000000"/>
          <w:kern w:val="2"/>
          <w:sz w:val="32"/>
          <w:szCs w:val="22"/>
          <w:lang w:val="en-US" w:eastAsia="zh-CN" w:bidi="ar-SA"/>
        </w:rPr>
        <w:t>规定对其实施行政处罚。</w:t>
      </w:r>
    </w:p>
    <w:p w14:paraId="7146CF73">
      <w:pPr>
        <w:pStyle w:val="12"/>
        <w:keepNext w:val="0"/>
        <w:keepLines w:val="0"/>
        <w:pageBreakBefore w:val="0"/>
        <w:widowControl w:val="0"/>
        <w:numPr>
          <w:ilvl w:val="0"/>
          <w:numId w:val="1"/>
        </w:numPr>
        <w:kinsoku/>
        <w:wordWrap/>
        <w:overflowPunct/>
        <w:topLinePunct w:val="0"/>
        <w:autoSpaceDE/>
        <w:autoSpaceDN/>
        <w:bidi w:val="0"/>
        <w:snapToGrid/>
        <w:spacing w:line="560" w:lineRule="exact"/>
        <w:ind w:left="-420" w:leftChars="0" w:firstLineChars="0"/>
        <w:textAlignment w:val="auto"/>
        <w:outlineLvl w:val="0"/>
        <w:rPr>
          <w:rFonts w:hint="default" w:ascii="黑体" w:hAnsi="黑体" w:eastAsia="黑体" w:cs="黑体"/>
          <w:b/>
          <w:bCs/>
          <w:sz w:val="32"/>
          <w:szCs w:val="32"/>
          <w:lang w:val="en-US" w:eastAsia="zh-CN"/>
        </w:rPr>
      </w:pPr>
      <w:bookmarkStart w:id="41" w:name="_Toc3638"/>
      <w:r>
        <w:rPr>
          <w:rFonts w:hint="eastAsia" w:ascii="黑体" w:hAnsi="黑体" w:eastAsia="黑体" w:cs="黑体"/>
          <w:b/>
          <w:bCs/>
          <w:sz w:val="32"/>
          <w:szCs w:val="32"/>
          <w:lang w:val="en-US" w:eastAsia="zh-CN"/>
        </w:rPr>
        <w:t>事故整改和防范措施</w:t>
      </w:r>
      <w:bookmarkEnd w:id="41"/>
    </w:p>
    <w:p w14:paraId="5976BF86">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42" w:name="_Toc1987"/>
      <w:r>
        <w:rPr>
          <w:rFonts w:hint="eastAsia" w:ascii="楷体_GB2312" w:hAnsi="楷体_GB2312" w:eastAsia="楷体_GB2312" w:cs="楷体_GB2312"/>
          <w:b/>
          <w:bCs/>
          <w:kern w:val="2"/>
          <w:sz w:val="32"/>
          <w:szCs w:val="32"/>
          <w:lang w:val="en-US" w:eastAsia="zh-CN" w:bidi="ar-SA"/>
        </w:rPr>
        <w:t>（一）</w:t>
      </w:r>
      <w:r>
        <w:rPr>
          <w:rFonts w:hint="default" w:ascii="楷体_GB2312" w:hAnsi="楷体_GB2312" w:eastAsia="楷体_GB2312" w:cs="楷体_GB2312"/>
          <w:b/>
          <w:bCs/>
          <w:kern w:val="2"/>
          <w:sz w:val="32"/>
          <w:szCs w:val="32"/>
          <w:lang w:val="en-US" w:eastAsia="zh-CN" w:bidi="ar-SA"/>
        </w:rPr>
        <w:t>时刻警钟长鸣，压紧压实安全生产责任</w:t>
      </w:r>
      <w:bookmarkEnd w:id="42"/>
    </w:p>
    <w:p w14:paraId="77683A7D">
      <w:pPr>
        <w:keepNext w:val="0"/>
        <w:keepLines w:val="0"/>
        <w:pageBreakBefore w:val="0"/>
        <w:widowControl w:val="0"/>
        <w:numPr>
          <w:ilvl w:val="0"/>
          <w:numId w:val="0"/>
        </w:numPr>
        <w:suppressAutoHyphens/>
        <w:kinsoku/>
        <w:wordWrap/>
        <w:overflowPunct/>
        <w:topLinePunct w:val="0"/>
        <w:autoSpaceDE/>
        <w:autoSpaceDN/>
        <w:bidi w:val="0"/>
        <w:adjustRightInd/>
        <w:snapToGrid/>
        <w:spacing w:line="540" w:lineRule="exact"/>
        <w:ind w:firstLine="640" w:firstLineChars="200"/>
        <w:textAlignment w:val="auto"/>
        <w:rPr>
          <w:rFonts w:hint="default" w:ascii="仿宋_GB2312" w:hAnsi="Calibri" w:eastAsia="仿宋_GB2312" w:cstheme="minorBidi"/>
          <w:color w:val="000000"/>
          <w:kern w:val="2"/>
          <w:sz w:val="32"/>
          <w:szCs w:val="22"/>
          <w:lang w:val="en-US" w:eastAsia="zh-CN" w:bidi="ar-SA"/>
        </w:rPr>
      </w:pPr>
      <w:r>
        <w:rPr>
          <w:rFonts w:hint="default" w:ascii="仿宋_GB2312" w:hAnsi="Calibri" w:eastAsia="仿宋_GB2312" w:cstheme="minorBidi"/>
          <w:color w:val="000000"/>
          <w:kern w:val="2"/>
          <w:sz w:val="32"/>
          <w:szCs w:val="22"/>
          <w:lang w:val="en-US" w:eastAsia="zh-CN" w:bidi="ar-SA"/>
        </w:rPr>
        <w:t>各</w:t>
      </w:r>
      <w:r>
        <w:rPr>
          <w:rFonts w:hint="eastAsia" w:ascii="仿宋_GB2312" w:hAnsi="Calibri" w:eastAsia="仿宋_GB2312" w:cstheme="minorBidi"/>
          <w:color w:val="000000"/>
          <w:kern w:val="2"/>
          <w:sz w:val="32"/>
          <w:szCs w:val="22"/>
          <w:lang w:val="en-US" w:eastAsia="zh-CN" w:bidi="ar-SA"/>
        </w:rPr>
        <w:t>街道</w:t>
      </w:r>
      <w:r>
        <w:rPr>
          <w:rFonts w:hint="default" w:ascii="仿宋_GB2312" w:hAnsi="Calibri" w:eastAsia="仿宋_GB2312" w:cstheme="minorBidi"/>
          <w:color w:val="000000"/>
          <w:kern w:val="2"/>
          <w:sz w:val="32"/>
          <w:szCs w:val="22"/>
          <w:lang w:val="en-US" w:eastAsia="zh-CN" w:bidi="ar-SA"/>
        </w:rPr>
        <w:t>、各部门和单位要</w:t>
      </w:r>
      <w:r>
        <w:rPr>
          <w:rFonts w:hint="eastAsia" w:ascii="仿宋_GB2312" w:hAnsi="Calibri" w:eastAsia="仿宋_GB2312" w:cstheme="minorBidi"/>
          <w:color w:val="000000"/>
          <w:kern w:val="2"/>
          <w:sz w:val="32"/>
          <w:szCs w:val="22"/>
          <w:lang w:val="en-US" w:eastAsia="zh-CN" w:bidi="ar-SA"/>
        </w:rPr>
        <w:t>以二十大精神为指引，认真</w:t>
      </w:r>
      <w:r>
        <w:rPr>
          <w:rFonts w:hint="default" w:ascii="仿宋_GB2312" w:hAnsi="Calibri" w:eastAsia="仿宋_GB2312" w:cstheme="minorBidi"/>
          <w:color w:val="000000"/>
          <w:kern w:val="2"/>
          <w:sz w:val="32"/>
          <w:szCs w:val="22"/>
          <w:lang w:val="en-US" w:eastAsia="zh-CN" w:bidi="ar-SA"/>
        </w:rPr>
        <w:t>贯彻落实习近平总书记</w:t>
      </w:r>
      <w:r>
        <w:rPr>
          <w:rFonts w:hint="eastAsia" w:ascii="仿宋_GB2312" w:hAnsi="Calibri" w:eastAsia="仿宋_GB2312" w:cstheme="minorBidi"/>
          <w:color w:val="000000"/>
          <w:kern w:val="2"/>
          <w:sz w:val="32"/>
          <w:szCs w:val="22"/>
          <w:lang w:val="en-US" w:eastAsia="zh-CN" w:bidi="ar-SA"/>
        </w:rPr>
        <w:t>关于安全生产一系列</w:t>
      </w:r>
      <w:r>
        <w:rPr>
          <w:rFonts w:hint="default" w:ascii="仿宋_GB2312" w:hAnsi="Calibri" w:eastAsia="仿宋_GB2312" w:cstheme="minorBidi"/>
          <w:color w:val="000000"/>
          <w:kern w:val="2"/>
          <w:sz w:val="32"/>
          <w:szCs w:val="22"/>
          <w:lang w:val="en-US" w:eastAsia="zh-CN" w:bidi="ar-SA"/>
        </w:rPr>
        <w:t>重要指示批示精神，坚持</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人民至上、生命至上</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理念，严格按照安全生产</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党政同责、一岗双责、齐抓共管、失职追责</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和</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三管三必须</w:t>
      </w:r>
      <w:r>
        <w:rPr>
          <w:rFonts w:hint="eastAsia" w:ascii="仿宋_GB2312" w:hAnsi="Calibri" w:eastAsia="仿宋_GB2312" w:cstheme="minorBidi"/>
          <w:color w:val="000000"/>
          <w:kern w:val="2"/>
          <w:sz w:val="32"/>
          <w:szCs w:val="22"/>
          <w:lang w:val="en-US" w:eastAsia="zh-CN" w:bidi="ar-SA"/>
        </w:rPr>
        <w:t>”</w:t>
      </w:r>
      <w:r>
        <w:rPr>
          <w:rFonts w:hint="default" w:ascii="仿宋_GB2312" w:hAnsi="Calibri" w:eastAsia="仿宋_GB2312" w:cstheme="minorBidi"/>
          <w:color w:val="000000"/>
          <w:kern w:val="2"/>
          <w:sz w:val="32"/>
          <w:szCs w:val="22"/>
          <w:lang w:val="en-US" w:eastAsia="zh-CN" w:bidi="ar-SA"/>
        </w:rPr>
        <w:t>要求，</w:t>
      </w:r>
      <w:r>
        <w:rPr>
          <w:rFonts w:hint="eastAsia" w:ascii="仿宋_GB2312" w:hAnsi="Calibri" w:eastAsia="仿宋_GB2312" w:cstheme="minorBidi"/>
          <w:color w:val="000000"/>
          <w:kern w:val="2"/>
          <w:sz w:val="32"/>
          <w:szCs w:val="22"/>
          <w:lang w:val="en-US" w:eastAsia="zh-CN" w:bidi="ar-SA"/>
        </w:rPr>
        <w:t>统筹发展和安全，</w:t>
      </w:r>
      <w:r>
        <w:rPr>
          <w:rFonts w:hint="default" w:ascii="仿宋_GB2312" w:hAnsi="Calibri" w:eastAsia="仿宋_GB2312" w:cstheme="minorBidi"/>
          <w:color w:val="000000"/>
          <w:kern w:val="2"/>
          <w:sz w:val="32"/>
          <w:szCs w:val="22"/>
          <w:lang w:val="en-US" w:eastAsia="zh-CN" w:bidi="ar-SA"/>
        </w:rPr>
        <w:t>对</w:t>
      </w:r>
      <w:r>
        <w:rPr>
          <w:rFonts w:hint="eastAsia" w:ascii="仿宋_GB2312" w:hAnsi="Calibri" w:eastAsia="仿宋_GB2312" w:cstheme="minorBidi"/>
          <w:color w:val="000000"/>
          <w:kern w:val="2"/>
          <w:sz w:val="32"/>
          <w:szCs w:val="22"/>
          <w:lang w:val="en-US" w:eastAsia="zh-CN" w:bidi="ar-SA"/>
        </w:rPr>
        <w:t>本辖区、本行业</w:t>
      </w:r>
      <w:r>
        <w:rPr>
          <w:rFonts w:hint="default" w:ascii="仿宋_GB2312" w:hAnsi="Calibri" w:eastAsia="仿宋_GB2312" w:cstheme="minorBidi"/>
          <w:color w:val="000000"/>
          <w:kern w:val="2"/>
          <w:sz w:val="32"/>
          <w:szCs w:val="22"/>
          <w:lang w:val="en-US" w:eastAsia="zh-CN" w:bidi="ar-SA"/>
        </w:rPr>
        <w:t>安全生产工作进行再部署、再检查、再落实</w:t>
      </w:r>
      <w:r>
        <w:rPr>
          <w:rFonts w:hint="eastAsia" w:ascii="仿宋_GB2312" w:hAnsi="Calibri" w:eastAsia="仿宋_GB2312" w:cstheme="minorBidi"/>
          <w:color w:val="000000"/>
          <w:kern w:val="2"/>
          <w:sz w:val="32"/>
          <w:szCs w:val="22"/>
          <w:lang w:val="en-US" w:eastAsia="zh-CN" w:bidi="ar-SA"/>
        </w:rPr>
        <w:t>。要建立健全各级、各部门间信息共享机制，防止因信息滞后导致出现监管真空，</w:t>
      </w:r>
      <w:r>
        <w:rPr>
          <w:rFonts w:hint="default" w:ascii="仿宋_GB2312" w:hAnsi="Calibri" w:eastAsia="仿宋_GB2312" w:cstheme="minorBidi"/>
          <w:color w:val="000000"/>
          <w:kern w:val="2"/>
          <w:sz w:val="32"/>
          <w:szCs w:val="22"/>
          <w:lang w:val="en-US" w:eastAsia="zh-CN" w:bidi="ar-SA"/>
        </w:rPr>
        <w:t>强化各级各部门和单位安全生产责任落实，推进安全生产大检查，切实加强各类生产安全事故管控，保全</w:t>
      </w:r>
      <w:r>
        <w:rPr>
          <w:rFonts w:hint="eastAsia" w:ascii="仿宋_GB2312" w:hAnsi="Calibri" w:eastAsia="仿宋_GB2312" w:cstheme="minorBidi"/>
          <w:color w:val="000000"/>
          <w:kern w:val="2"/>
          <w:sz w:val="32"/>
          <w:szCs w:val="22"/>
          <w:lang w:val="en-US" w:eastAsia="zh-CN" w:bidi="ar-SA"/>
        </w:rPr>
        <w:t>区</w:t>
      </w:r>
      <w:r>
        <w:rPr>
          <w:rFonts w:hint="default" w:ascii="仿宋_GB2312" w:hAnsi="Calibri" w:eastAsia="仿宋_GB2312" w:cstheme="minorBidi"/>
          <w:color w:val="000000"/>
          <w:kern w:val="2"/>
          <w:sz w:val="32"/>
          <w:szCs w:val="22"/>
          <w:lang w:val="en-US" w:eastAsia="zh-CN" w:bidi="ar-SA"/>
        </w:rPr>
        <w:t>安全生产形势稳定。</w:t>
      </w:r>
    </w:p>
    <w:p w14:paraId="1243DC72">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default" w:ascii="楷体_GB2312" w:hAnsi="楷体_GB2312" w:eastAsia="楷体_GB2312" w:cs="楷体_GB2312"/>
          <w:b/>
          <w:bCs/>
          <w:kern w:val="2"/>
          <w:sz w:val="32"/>
          <w:szCs w:val="32"/>
          <w:lang w:val="en-US" w:eastAsia="zh-CN" w:bidi="ar-SA"/>
        </w:rPr>
      </w:pPr>
      <w:bookmarkStart w:id="43" w:name="_Toc4066"/>
      <w:r>
        <w:rPr>
          <w:rFonts w:hint="eastAsia" w:ascii="楷体_GB2312" w:hAnsi="楷体_GB2312" w:eastAsia="楷体_GB2312" w:cs="楷体_GB2312"/>
          <w:b/>
          <w:bCs/>
          <w:kern w:val="2"/>
          <w:sz w:val="32"/>
          <w:szCs w:val="32"/>
          <w:lang w:val="en-US" w:eastAsia="zh-CN" w:bidi="ar-SA"/>
        </w:rPr>
        <w:t>（二）</w:t>
      </w:r>
      <w:r>
        <w:rPr>
          <w:rFonts w:hint="default" w:ascii="楷体_GB2312" w:hAnsi="楷体_GB2312" w:eastAsia="楷体_GB2312" w:cs="楷体_GB2312"/>
          <w:b/>
          <w:bCs/>
          <w:kern w:val="2"/>
          <w:sz w:val="32"/>
          <w:szCs w:val="32"/>
          <w:lang w:val="en-US" w:eastAsia="zh-CN" w:bidi="ar-SA"/>
        </w:rPr>
        <w:t>坚持问题导向，切实加强事故暴露问题整改</w:t>
      </w:r>
      <w:bookmarkEnd w:id="43"/>
    </w:p>
    <w:p w14:paraId="12318AE4">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beforeAutospacing="0" w:after="0" w:afterAutospacing="0" w:line="560" w:lineRule="exact"/>
        <w:ind w:firstLine="640" w:firstLineChars="200"/>
        <w:jc w:val="both"/>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湖北鑫佳铭和建设工程有限公司要深刻吸取事故教训，保持警钟长鸣，始终坚守“发展决不能以牺牲安全为代价”这条红线，着力强化企业安全生产主体责任，完善企业各项安全生产制度，推进安全基础管理系统化、岗位操作行为规范化，建立风险研判机制，及时排查风险，强化隐患治理；要认真吸取事故教训，全面建立完善安全教育培训制度，强化培训制度落实和培训效果，保证从业人员具备必要的安全生产知识，熟悉有关的安全生产规章制度和安全操作规程，掌握本岗位的安全操作技能，了解作业现场事故风险和应急处理措施，能够妥善处理突发情况；要加强作业现场安全管理，对存在事故风险的作业区域应当加强管理人员监督检查频次，督促作业人员严格落实各项安全生产制度，及时发现并采取有效措施消除事故隐患，</w:t>
      </w:r>
      <w:r>
        <w:rPr>
          <w:rFonts w:hint="default" w:ascii="仿宋_GB2312" w:hAnsi="Calibri" w:eastAsia="仿宋_GB2312" w:cstheme="minorBidi"/>
          <w:color w:val="000000"/>
          <w:kern w:val="2"/>
          <w:sz w:val="32"/>
          <w:szCs w:val="22"/>
          <w:lang w:val="en-US" w:eastAsia="zh-CN" w:bidi="ar-SA"/>
        </w:rPr>
        <w:t>提升企业本质安全</w:t>
      </w:r>
      <w:r>
        <w:rPr>
          <w:rFonts w:hint="eastAsia" w:ascii="仿宋_GB2312" w:hAnsi="Calibri" w:eastAsia="仿宋_GB2312" w:cstheme="minorBidi"/>
          <w:color w:val="000000"/>
          <w:kern w:val="2"/>
          <w:sz w:val="32"/>
          <w:szCs w:val="22"/>
          <w:lang w:val="en-US" w:eastAsia="zh-CN" w:bidi="ar-SA"/>
        </w:rPr>
        <w:t>。</w:t>
      </w:r>
    </w:p>
    <w:p w14:paraId="225D1FB9">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44" w:name="_Toc17953"/>
      <w:r>
        <w:rPr>
          <w:rFonts w:hint="eastAsia" w:ascii="楷体_GB2312" w:hAnsi="楷体_GB2312" w:eastAsia="楷体_GB2312" w:cs="楷体_GB2312"/>
          <w:b/>
          <w:bCs/>
          <w:kern w:val="2"/>
          <w:sz w:val="32"/>
          <w:szCs w:val="32"/>
          <w:lang w:val="en-US" w:eastAsia="zh-CN" w:bidi="ar-SA"/>
        </w:rPr>
        <w:t>（三）举一反三，督促企业落实隐患排查治理</w:t>
      </w:r>
      <w:bookmarkEnd w:id="44"/>
    </w:p>
    <w:p w14:paraId="3645A3BE">
      <w:pPr>
        <w:pStyle w:val="11"/>
        <w:keepNext w:val="0"/>
        <w:keepLines w:val="0"/>
        <w:pageBreakBefore w:val="0"/>
        <w:widowControl w:val="0"/>
        <w:numPr>
          <w:ilvl w:val="0"/>
          <w:numId w:val="0"/>
        </w:numPr>
        <w:kinsoku/>
        <w:wordWrap/>
        <w:overflowPunct/>
        <w:topLinePunct w:val="0"/>
        <w:autoSpaceDE/>
        <w:autoSpaceDN/>
        <w:bidi w:val="0"/>
        <w:adjustRightInd w:val="0"/>
        <w:snapToGrid/>
        <w:spacing w:before="0" w:beforeAutospacing="0" w:after="0" w:afterAutospacing="0" w:line="560" w:lineRule="exact"/>
        <w:ind w:firstLine="640" w:firstLineChars="200"/>
        <w:jc w:val="both"/>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区住房和城市更新局要通过事故举一反三，组织辖区建筑领域开展事故警示教育，绷紧生产安全弦。要加强对在建工地生产安全的监督管理，加大对项目内各施工单位的抽查力度，要从严执法，对施工人员习惯性违规违章行为，加大执法力度，倒逼企业落实安全生产主体责任，落实安全管理制度，推动企业隐患排查治理，及时消除事故隐患。</w:t>
      </w:r>
    </w:p>
    <w:p w14:paraId="2FF51C33">
      <w:pPr>
        <w:keepNext w:val="0"/>
        <w:keepLines w:val="0"/>
        <w:pageBreakBefore w:val="0"/>
        <w:widowControl w:val="0"/>
        <w:numPr>
          <w:ilvl w:val="0"/>
          <w:numId w:val="0"/>
        </w:numPr>
        <w:kinsoku/>
        <w:wordWrap/>
        <w:overflowPunct/>
        <w:topLinePunct w:val="0"/>
        <w:autoSpaceDE/>
        <w:autoSpaceDN/>
        <w:bidi w:val="0"/>
        <w:adjustRightInd w:val="0"/>
        <w:snapToGrid/>
        <w:spacing w:beforeAutospacing="0" w:line="560" w:lineRule="exact"/>
        <w:ind w:left="-10" w:leftChars="0" w:firstLine="643" w:firstLineChars="200"/>
        <w:textAlignment w:val="auto"/>
        <w:outlineLvl w:val="1"/>
        <w:rPr>
          <w:rFonts w:hint="eastAsia" w:ascii="楷体_GB2312" w:hAnsi="楷体_GB2312" w:eastAsia="楷体_GB2312" w:cs="楷体_GB2312"/>
          <w:b/>
          <w:bCs/>
          <w:kern w:val="2"/>
          <w:sz w:val="32"/>
          <w:szCs w:val="32"/>
          <w:lang w:val="en-US" w:eastAsia="zh-CN" w:bidi="ar-SA"/>
        </w:rPr>
      </w:pPr>
      <w:bookmarkStart w:id="45" w:name="_Toc28861"/>
      <w:r>
        <w:rPr>
          <w:rFonts w:hint="eastAsia" w:ascii="楷体_GB2312" w:hAnsi="楷体_GB2312" w:eastAsia="楷体_GB2312" w:cs="楷体_GB2312"/>
          <w:b/>
          <w:bCs/>
          <w:kern w:val="2"/>
          <w:sz w:val="32"/>
          <w:szCs w:val="32"/>
          <w:lang w:val="en-US" w:eastAsia="zh-CN" w:bidi="ar-SA"/>
        </w:rPr>
        <w:t>（四）强化事故报告制度落实</w:t>
      </w:r>
      <w:bookmarkEnd w:id="45"/>
    </w:p>
    <w:p w14:paraId="2262909D">
      <w:pPr>
        <w:bidi w:val="0"/>
        <w:ind w:firstLine="640" w:firstLineChars="200"/>
        <w:rPr>
          <w:rFonts w:hint="default"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各街道、各部门要加大事故报告法律法规的宣传力度和指导帮扶企业，督促企业落实事故报告责任，严格按照事故报告规定，如实准确报告事故信息，坚决杜绝瞒报、谎报事故。</w:t>
      </w:r>
    </w:p>
    <w:p w14:paraId="162AC0FE">
      <w:pPr>
        <w:keepNext w:val="0"/>
        <w:keepLines w:val="0"/>
        <w:pageBreakBefore w:val="0"/>
        <w:widowControl w:val="0"/>
        <w:kinsoku/>
        <w:wordWrap/>
        <w:topLinePunct w:val="0"/>
        <w:bidi w:val="0"/>
        <w:spacing w:line="560" w:lineRule="exact"/>
        <w:textAlignment w:val="auto"/>
        <w:rPr>
          <w:rFonts w:hint="eastAsia" w:ascii="仿宋_GB2312" w:hAnsi="Calibri" w:eastAsia="仿宋_GB2312" w:cstheme="minorBidi"/>
          <w:color w:val="000000"/>
          <w:kern w:val="2"/>
          <w:sz w:val="32"/>
          <w:szCs w:val="22"/>
          <w:lang w:val="en-US" w:eastAsia="zh-CN" w:bidi="ar-SA"/>
        </w:rPr>
      </w:pPr>
      <w:r>
        <w:rPr>
          <w:rFonts w:hint="eastAsia"/>
          <w:lang w:val="en-US" w:eastAsia="zh-CN"/>
        </w:rPr>
        <w:t xml:space="preserve">     </w:t>
      </w:r>
      <w:r>
        <w:rPr>
          <w:rFonts w:hint="eastAsia" w:ascii="仿宋_GB2312" w:hAnsi="Calibri" w:eastAsia="仿宋_GB2312" w:cstheme="minorBidi"/>
          <w:color w:val="000000"/>
          <w:kern w:val="2"/>
          <w:sz w:val="32"/>
          <w:szCs w:val="22"/>
          <w:lang w:val="en-US" w:eastAsia="zh-CN" w:bidi="ar-SA"/>
        </w:rPr>
        <w:t xml:space="preserve">                   </w:t>
      </w:r>
    </w:p>
    <w:p w14:paraId="45B690F0">
      <w:pPr>
        <w:keepNext w:val="0"/>
        <w:keepLines w:val="0"/>
        <w:pageBreakBefore w:val="0"/>
        <w:widowControl w:val="0"/>
        <w:kinsoku/>
        <w:wordWrap/>
        <w:topLinePunct w:val="0"/>
        <w:bidi w:val="0"/>
        <w:spacing w:line="560" w:lineRule="exact"/>
        <w:textAlignment w:val="auto"/>
        <w:rPr>
          <w:rFonts w:hint="eastAsia" w:ascii="仿宋_GB2312" w:hAnsi="Calibri" w:eastAsia="仿宋_GB2312" w:cstheme="minorBidi"/>
          <w:color w:val="000000"/>
          <w:kern w:val="2"/>
          <w:sz w:val="32"/>
          <w:szCs w:val="22"/>
          <w:lang w:val="en-US" w:eastAsia="zh-CN" w:bidi="ar-SA"/>
        </w:rPr>
      </w:pPr>
    </w:p>
    <w:p w14:paraId="7A8A6B56">
      <w:pPr>
        <w:keepNext w:val="0"/>
        <w:keepLines w:val="0"/>
        <w:pageBreakBefore w:val="0"/>
        <w:widowControl w:val="0"/>
        <w:kinsoku/>
        <w:wordWrap/>
        <w:topLinePunct w:val="0"/>
        <w:bidi w:val="0"/>
        <w:spacing w:line="560" w:lineRule="exact"/>
        <w:ind w:firstLine="3520" w:firstLineChars="1100"/>
        <w:textAlignment w:val="auto"/>
        <w:rPr>
          <w:rFonts w:hint="eastAsia" w:ascii="仿宋_GB2312" w:hAnsi="Calibri" w:eastAsia="仿宋_GB2312" w:cstheme="minorBidi"/>
          <w:color w:val="000000"/>
          <w:kern w:val="2"/>
          <w:sz w:val="32"/>
          <w:szCs w:val="22"/>
          <w:lang w:val="en-US" w:eastAsia="zh-CN" w:bidi="ar-SA"/>
        </w:rPr>
      </w:pPr>
      <w:r>
        <w:rPr>
          <w:rFonts w:hint="eastAsia" w:ascii="仿宋_GB2312" w:hAnsi="Calibri" w:eastAsia="仿宋_GB2312" w:cstheme="minorBidi"/>
          <w:color w:val="000000"/>
          <w:kern w:val="2"/>
          <w:sz w:val="32"/>
          <w:szCs w:val="22"/>
          <w:lang w:val="en-US" w:eastAsia="zh-CN" w:bidi="ar-SA"/>
        </w:rPr>
        <w:t xml:space="preserve"> 10•29一般高处坠落事故调查组</w:t>
      </w:r>
    </w:p>
    <w:p w14:paraId="58EA0809">
      <w:pPr>
        <w:pStyle w:val="12"/>
        <w:rPr>
          <w:rFonts w:hint="default"/>
          <w:lang w:val="en-US" w:eastAsia="zh-CN"/>
        </w:rPr>
      </w:pPr>
      <w:r>
        <w:rPr>
          <w:rFonts w:hint="eastAsia" w:cstheme="minorBidi"/>
          <w:color w:val="000000"/>
          <w:kern w:val="2"/>
          <w:sz w:val="32"/>
          <w:szCs w:val="22"/>
          <w:lang w:val="en-US" w:eastAsia="zh-CN" w:bidi="ar-SA"/>
        </w:rPr>
        <w:t xml:space="preserve">                          2024年7月11日</w:t>
      </w:r>
    </w:p>
    <w:sectPr>
      <w:footerReference r:id="rId5" w:type="default"/>
      <w:pgSz w:w="11906" w:h="16838"/>
      <w:pgMar w:top="2098" w:right="1417" w:bottom="1984"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公文仿宋">
    <w:altName w:val="仿宋"/>
    <w:panose1 w:val="02000500000000000000"/>
    <w:charset w:val="00"/>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6880E">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AA83E">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F58B5">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58F58B5">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r>
        <w:separator/>
      </w:r>
    </w:p>
  </w:footnote>
  <w:footnote w:type="continuationSeparator" w:id="19">
    <w:p>
      <w:r>
        <w:continuationSeparator/>
      </w:r>
    </w:p>
  </w:footnote>
  <w:footnote w:id="0">
    <w:p w14:paraId="756B5F36">
      <w:pPr>
        <w:pStyle w:val="9"/>
        <w:snapToGrid w:val="0"/>
        <w:rPr>
          <w:rFonts w:hint="eastAsia" w:eastAsia="宋体"/>
          <w:lang w:eastAsia="zh-CN"/>
        </w:rPr>
      </w:pPr>
      <w:r>
        <w:rPr>
          <w:rFonts w:hint="eastAsia"/>
          <w:lang w:eastAsia="zh-CN"/>
        </w:rPr>
        <w:footnoteRef/>
      </w:r>
      <w:r>
        <w:rPr>
          <w:rFonts w:hint="eastAsia"/>
          <w:lang w:eastAsia="zh-CN"/>
        </w:rPr>
        <w:t xml:space="preserve"> 清理负二层支撑模材料正常搬运路程需从负二层通过楼梯通道步行至负一层，所需搬运距离较远</w:t>
      </w:r>
    </w:p>
  </w:footnote>
  <w:footnote w:id="1">
    <w:p w14:paraId="19E0CA57">
      <w:pPr>
        <w:pStyle w:val="9"/>
        <w:snapToGrid w:val="0"/>
        <w:rPr>
          <w:rFonts w:hint="eastAsia" w:eastAsia="宋体"/>
          <w:lang w:eastAsia="zh-CN"/>
        </w:rPr>
      </w:pPr>
      <w:r>
        <w:rPr>
          <w:rFonts w:hint="eastAsia"/>
          <w:lang w:val="en-US" w:eastAsia="zh-CN"/>
        </w:rPr>
        <w:footnoteRef/>
      </w:r>
      <w:r>
        <w:rPr>
          <w:rFonts w:hint="eastAsia"/>
          <w:lang w:val="en-US" w:eastAsia="zh-CN"/>
        </w:rPr>
        <w:t xml:space="preserve"> 图一由事故调查组于2024年6月26</w:t>
      </w:r>
      <w:r>
        <w:rPr>
          <w:rFonts w:hint="eastAsia"/>
          <w:lang w:eastAsia="zh-CN"/>
        </w:rPr>
        <w:t>提取于</w:t>
      </w:r>
      <w:r>
        <w:rPr>
          <w:rFonts w:hint="eastAsia"/>
          <w:lang w:val="en-US" w:eastAsia="zh-CN"/>
        </w:rPr>
        <w:t>湖北鑫佳铭和建设工程有限公司，图为整改后拍摄</w:t>
      </w:r>
    </w:p>
  </w:footnote>
  <w:footnote w:id="2">
    <w:p w14:paraId="3B552C64">
      <w:pPr>
        <w:pStyle w:val="9"/>
        <w:snapToGrid w:val="0"/>
        <w:rPr>
          <w:rFonts w:hint="default" w:eastAsia="宋体"/>
          <w:lang w:val="en-US" w:eastAsia="zh-CN"/>
        </w:rPr>
      </w:pPr>
      <w:r>
        <w:rPr>
          <w:rFonts w:hint="eastAsia"/>
          <w:lang w:val="en-US" w:eastAsia="zh-CN"/>
        </w:rPr>
        <w:footnoteRef/>
      </w:r>
      <w:r>
        <w:rPr>
          <w:rFonts w:hint="eastAsia"/>
          <w:lang w:val="en-US" w:eastAsia="zh-CN"/>
        </w:rPr>
        <w:t xml:space="preserve"> 图二由事故</w:t>
      </w:r>
      <w:r>
        <w:rPr>
          <w:rFonts w:hint="eastAsia"/>
          <w:lang w:eastAsia="zh-CN"/>
        </w:rPr>
        <w:t>调查组于</w:t>
      </w:r>
      <w:r>
        <w:rPr>
          <w:rFonts w:hint="eastAsia"/>
          <w:lang w:val="en-US" w:eastAsia="zh-CN"/>
        </w:rPr>
        <w:t>2024年6月25从付某某女儿处提取</w:t>
      </w:r>
    </w:p>
  </w:footnote>
  <w:footnote w:id="3">
    <w:p w14:paraId="2E0AEE73">
      <w:pPr>
        <w:pStyle w:val="9"/>
        <w:snapToGrid w:val="0"/>
        <w:rPr>
          <w:rFonts w:hint="eastAsia" w:ascii="Calibri" w:hAnsi="Calibri" w:eastAsia="宋体" w:cstheme="minorBidi"/>
          <w:kern w:val="2"/>
          <w:sz w:val="18"/>
          <w:szCs w:val="24"/>
          <w:lang w:val="en-US" w:eastAsia="zh-CN" w:bidi="ar-SA"/>
        </w:rPr>
      </w:pPr>
      <w:r>
        <w:rPr>
          <w:rFonts w:hint="eastAsia" w:ascii="Calibri" w:hAnsi="Calibri" w:eastAsia="宋体" w:cstheme="minorBidi"/>
          <w:kern w:val="2"/>
          <w:sz w:val="18"/>
          <w:szCs w:val="24"/>
          <w:lang w:val="en-US" w:eastAsia="zh-CN" w:bidi="ar-SA"/>
        </w:rPr>
        <w:footnoteRef/>
      </w:r>
      <w:r>
        <w:rPr>
          <w:rFonts w:hint="eastAsia" w:ascii="Calibri" w:hAnsi="Calibri" w:eastAsia="宋体" w:cstheme="minorBidi"/>
          <w:kern w:val="2"/>
          <w:sz w:val="18"/>
          <w:szCs w:val="24"/>
          <w:lang w:val="en-US" w:eastAsia="zh-CN" w:bidi="ar-SA"/>
        </w:rPr>
        <w:t xml:space="preserve"> 《中华人民共和国安全生产法》第四十一条 生产经营单位应当建立安全风险分级管控制度，按照安全风险分级采取相应的管控措施</w:t>
      </w:r>
      <w:r>
        <w:rPr>
          <w:rFonts w:hint="eastAsia" w:cstheme="minorBidi"/>
          <w:kern w:val="2"/>
          <w:sz w:val="18"/>
          <w:szCs w:val="24"/>
          <w:lang w:val="en-US" w:eastAsia="zh-CN" w:bidi="ar-SA"/>
        </w:rPr>
        <w:t>。</w:t>
      </w:r>
    </w:p>
  </w:footnote>
  <w:footnote w:id="4">
    <w:p w14:paraId="144128A7">
      <w:pPr>
        <w:pStyle w:val="9"/>
        <w:snapToGrid w:val="0"/>
        <w:rPr>
          <w:rFonts w:hint="eastAsia" w:ascii="Calibri" w:hAnsi="Calibri" w:eastAsia="宋体" w:cstheme="minorBidi"/>
          <w:kern w:val="2"/>
          <w:sz w:val="18"/>
          <w:szCs w:val="24"/>
          <w:lang w:val="en-US" w:eastAsia="zh-CN" w:bidi="ar-SA"/>
        </w:rPr>
      </w:pPr>
      <w:r>
        <w:rPr>
          <w:rFonts w:hint="eastAsia" w:ascii="Calibri" w:hAnsi="Calibri" w:eastAsia="宋体" w:cstheme="minorBidi"/>
          <w:kern w:val="2"/>
          <w:sz w:val="18"/>
          <w:szCs w:val="24"/>
          <w:lang w:val="en-US" w:eastAsia="zh-CN" w:bidi="ar-SA"/>
        </w:rPr>
        <w:footnoteRef/>
      </w:r>
      <w:r>
        <w:rPr>
          <w:rFonts w:hint="eastAsia" w:ascii="Calibri" w:hAnsi="Calibri" w:eastAsia="宋体" w:cstheme="minorBidi"/>
          <w:kern w:val="2"/>
          <w:sz w:val="18"/>
          <w:szCs w:val="24"/>
          <w:lang w:val="en-US" w:eastAsia="zh-CN" w:bidi="ar-SA"/>
        </w:rPr>
        <w:t xml:space="preserve"> 《中华人民共和国安全生产法》第四十四条 生产经营单位应当教育和督促从业人员严格执行本单位的安全生产规章制度和安全操作规程；</w:t>
      </w:r>
    </w:p>
  </w:footnote>
  <w:footnote w:id="5">
    <w:p w14:paraId="5072E8E2">
      <w:pPr>
        <w:pStyle w:val="9"/>
        <w:snapToGrid w:val="0"/>
        <w:rPr>
          <w:rFonts w:hint="eastAsia" w:ascii="Calibri" w:hAnsi="Calibri" w:eastAsia="宋体" w:cstheme="minorBidi"/>
          <w:kern w:val="2"/>
          <w:sz w:val="18"/>
          <w:szCs w:val="24"/>
          <w:lang w:val="en-US" w:eastAsia="zh-CN" w:bidi="ar-SA"/>
        </w:rPr>
      </w:pPr>
      <w:r>
        <w:rPr>
          <w:rFonts w:hint="eastAsia" w:ascii="Calibri" w:hAnsi="Calibri" w:eastAsia="宋体" w:cstheme="minorBidi"/>
          <w:kern w:val="2"/>
          <w:sz w:val="18"/>
          <w:szCs w:val="24"/>
          <w:lang w:val="en-US" w:eastAsia="zh-CN" w:bidi="ar-SA"/>
        </w:rPr>
        <w:footnoteRef/>
      </w:r>
      <w:r>
        <w:rPr>
          <w:rFonts w:hint="eastAsia" w:ascii="Calibri" w:hAnsi="Calibri" w:eastAsia="宋体" w:cstheme="minorBidi"/>
          <w:kern w:val="2"/>
          <w:sz w:val="18"/>
          <w:szCs w:val="24"/>
          <w:lang w:val="en-US" w:eastAsia="zh-CN" w:bidi="ar-SA"/>
        </w:rPr>
        <w:t xml:space="preserve"> 第三十五条 生产经营单位应当在有较大危险因素的生产经营场所和有关设施、设备上，设置明显的安全警示标志。</w:t>
      </w:r>
    </w:p>
  </w:footnote>
  <w:footnote w:id="6">
    <w:p w14:paraId="226DF706">
      <w:pPr>
        <w:pStyle w:val="9"/>
        <w:snapToGrid w:val="0"/>
        <w:rPr>
          <w:rFonts w:hint="default"/>
          <w:lang w:val="en-US"/>
        </w:rPr>
      </w:pPr>
      <w:r>
        <w:rPr>
          <w:rFonts w:hint="eastAsia" w:ascii="Calibri" w:hAnsi="Calibri" w:eastAsia="宋体" w:cstheme="minorBidi"/>
          <w:kern w:val="2"/>
          <w:sz w:val="18"/>
          <w:szCs w:val="24"/>
          <w:lang w:val="en-US" w:eastAsia="zh-CN" w:bidi="ar-SA"/>
        </w:rPr>
        <w:footnoteRef/>
      </w:r>
      <w:r>
        <w:rPr>
          <w:rFonts w:hint="eastAsia" w:ascii="Calibri" w:hAnsi="Calibri" w:eastAsia="宋体" w:cstheme="minorBidi"/>
          <w:kern w:val="2"/>
          <w:sz w:val="18"/>
          <w:szCs w:val="24"/>
          <w:lang w:val="en-US" w:eastAsia="zh-CN" w:bidi="ar-SA"/>
        </w:rPr>
        <w:t xml:space="preserve"> 《中华人民共和国安全生产法》第二十一条  生产经营单位的主要负责人对本单位安全生产工作负有下列职责：（五）组织建立并落实安全风险分级管控和隐患排查治理双重预防工作机制，督促、检查本单位的安全生产工作，及时消除生产安全事故隐患。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7">
    <w:p w14:paraId="633898EC">
      <w:pPr>
        <w:pStyle w:val="9"/>
        <w:snapToGrid w:val="0"/>
        <w:rPr>
          <w:rFonts w:hint="default" w:ascii="Calibri" w:hAnsi="Calibri" w:eastAsia="宋体" w:cstheme="minorBidi"/>
          <w:kern w:val="2"/>
          <w:sz w:val="18"/>
          <w:szCs w:val="24"/>
          <w:lang w:val="en-US" w:eastAsia="zh-CN" w:bidi="ar-SA"/>
        </w:rPr>
      </w:pPr>
      <w:r>
        <w:rPr>
          <w:rFonts w:hint="eastAsia" w:ascii="Calibri" w:hAnsi="Calibri" w:eastAsia="宋体" w:cstheme="minorBidi"/>
          <w:kern w:val="2"/>
          <w:sz w:val="18"/>
          <w:szCs w:val="24"/>
          <w:lang w:val="en-US" w:eastAsia="zh-CN" w:bidi="ar-SA"/>
        </w:rPr>
        <w:footnoteRef/>
      </w:r>
      <w:r>
        <w:rPr>
          <w:rFonts w:hint="eastAsia" w:ascii="Calibri" w:hAnsi="Calibri" w:eastAsia="宋体" w:cstheme="minorBidi"/>
          <w:kern w:val="2"/>
          <w:sz w:val="18"/>
          <w:szCs w:val="24"/>
          <w:lang w:val="en-US" w:eastAsia="zh-CN" w:bidi="ar-SA"/>
        </w:rPr>
        <w:t xml:space="preserve"> 《中华人民共和国安全生产法》第八十三条  </w:t>
      </w:r>
      <w:r>
        <w:rPr>
          <w:rFonts w:hint="default" w:ascii="Calibri" w:hAnsi="Calibri" w:eastAsia="宋体" w:cstheme="minorBidi"/>
          <w:kern w:val="2"/>
          <w:sz w:val="18"/>
          <w:szCs w:val="24"/>
          <w:lang w:val="en-US" w:eastAsia="zh-CN" w:bidi="ar-SA"/>
        </w:rPr>
        <w:t>单位负责人接到事故报告后，应当迅速采取有效措施，组织抢救，防止事故扩大， 减少人员伤亡和财产损失，并按照国家有关规定立即如实报告当地负有安全生产监督管理职责的部门，不得隐瞒不报、谎报或者迟报，不得故意破坏事故现场、毁灭有关证据。 </w:t>
      </w:r>
    </w:p>
  </w:footnote>
  <w:footnote w:id="8">
    <w:p w14:paraId="6E3BF70E">
      <w:pPr>
        <w:pStyle w:val="9"/>
        <w:snapToGrid w:val="0"/>
        <w:rPr>
          <w:rFonts w:hint="default" w:ascii="Calibri" w:hAnsi="Calibri" w:eastAsia="宋体" w:cstheme="minorBidi"/>
          <w:kern w:val="2"/>
          <w:sz w:val="18"/>
          <w:szCs w:val="24"/>
          <w:lang w:val="en-US" w:eastAsia="zh-CN" w:bidi="ar-SA"/>
        </w:rPr>
      </w:pPr>
      <w:r>
        <w:rPr>
          <w:rFonts w:hint="default" w:ascii="Calibri" w:hAnsi="Calibri" w:eastAsia="宋体" w:cstheme="minorBidi"/>
          <w:kern w:val="2"/>
          <w:sz w:val="18"/>
          <w:szCs w:val="24"/>
          <w:lang w:val="en-US" w:eastAsia="zh-CN" w:bidi="ar-SA"/>
        </w:rPr>
        <w:footnoteRef/>
      </w:r>
      <w:r>
        <w:rPr>
          <w:rFonts w:hint="default" w:ascii="Calibri" w:hAnsi="Calibri" w:eastAsia="宋体" w:cstheme="minorBidi"/>
          <w:kern w:val="2"/>
          <w:sz w:val="18"/>
          <w:szCs w:val="24"/>
          <w:lang w:val="en-US" w:eastAsia="zh-CN" w:bidi="ar-SA"/>
        </w:rPr>
        <w:t xml:space="preserve"> </w:t>
      </w:r>
      <w:r>
        <w:rPr>
          <w:rFonts w:hint="eastAsia" w:ascii="Calibri" w:hAnsi="Calibri" w:eastAsia="宋体" w:cstheme="minorBidi"/>
          <w:kern w:val="2"/>
          <w:sz w:val="18"/>
          <w:szCs w:val="24"/>
          <w:lang w:val="en-US" w:eastAsia="zh-CN" w:bidi="ar-SA"/>
        </w:rPr>
        <w:t>《生产安全事故报告和调查处理条例》第四条　事故报告应当及时、准确、完整，任何单位和个人对事故不得迟报、漏报、谎报或者瞒报。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7E3F7"/>
    <w:multiLevelType w:val="singleLevel"/>
    <w:tmpl w:val="E497E3F7"/>
    <w:lvl w:ilvl="0" w:tentative="0">
      <w:start w:val="1"/>
      <w:numFmt w:val="chineseCounting"/>
      <w:suff w:val="nothing"/>
      <w:lvlText w:val="%1、"/>
      <w:lvlJc w:val="left"/>
      <w:pPr>
        <w:ind w:left="-210"/>
      </w:pPr>
      <w:rPr>
        <w:rFonts w:hint="eastAsia"/>
      </w:rPr>
    </w:lvl>
  </w:abstractNum>
  <w:abstractNum w:abstractNumId="1">
    <w:nsid w:val="35DD0974"/>
    <w:multiLevelType w:val="singleLevel"/>
    <w:tmpl w:val="35DD097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8"/>
    <w:footnote w:id="19"/>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MmYxYTYzMzc5MTE1YTVhYWZmNTAyNmNhYzQ1MGIifQ=="/>
  </w:docVars>
  <w:rsids>
    <w:rsidRoot w:val="6D427D2F"/>
    <w:rsid w:val="001E60D8"/>
    <w:rsid w:val="00423C6D"/>
    <w:rsid w:val="00586FEC"/>
    <w:rsid w:val="0060262A"/>
    <w:rsid w:val="0078768E"/>
    <w:rsid w:val="0097410F"/>
    <w:rsid w:val="00990227"/>
    <w:rsid w:val="01680C5E"/>
    <w:rsid w:val="017B2F92"/>
    <w:rsid w:val="019329D2"/>
    <w:rsid w:val="01C26E13"/>
    <w:rsid w:val="02240524"/>
    <w:rsid w:val="02380E83"/>
    <w:rsid w:val="0253085C"/>
    <w:rsid w:val="02565064"/>
    <w:rsid w:val="025C49EE"/>
    <w:rsid w:val="027C16B8"/>
    <w:rsid w:val="02B01361"/>
    <w:rsid w:val="02BC4A08"/>
    <w:rsid w:val="02C24BF1"/>
    <w:rsid w:val="02F96864"/>
    <w:rsid w:val="030F0EE1"/>
    <w:rsid w:val="03281E06"/>
    <w:rsid w:val="03544F87"/>
    <w:rsid w:val="03602F97"/>
    <w:rsid w:val="03704155"/>
    <w:rsid w:val="03793528"/>
    <w:rsid w:val="03887BE8"/>
    <w:rsid w:val="03A8118D"/>
    <w:rsid w:val="03E07A24"/>
    <w:rsid w:val="03E711F9"/>
    <w:rsid w:val="03EC63C9"/>
    <w:rsid w:val="040C2A1E"/>
    <w:rsid w:val="042E0DB9"/>
    <w:rsid w:val="045B55F7"/>
    <w:rsid w:val="049D07A1"/>
    <w:rsid w:val="04A5362F"/>
    <w:rsid w:val="04A76EA1"/>
    <w:rsid w:val="056501EA"/>
    <w:rsid w:val="0571302A"/>
    <w:rsid w:val="057228FE"/>
    <w:rsid w:val="058C1932"/>
    <w:rsid w:val="059123C8"/>
    <w:rsid w:val="05B4479C"/>
    <w:rsid w:val="05D4720E"/>
    <w:rsid w:val="05E46539"/>
    <w:rsid w:val="062A31D9"/>
    <w:rsid w:val="06582C75"/>
    <w:rsid w:val="068F04FE"/>
    <w:rsid w:val="06EE2458"/>
    <w:rsid w:val="0719115D"/>
    <w:rsid w:val="076269AA"/>
    <w:rsid w:val="07A26DF3"/>
    <w:rsid w:val="07BD69FF"/>
    <w:rsid w:val="0817778D"/>
    <w:rsid w:val="0834033F"/>
    <w:rsid w:val="084859A3"/>
    <w:rsid w:val="08713341"/>
    <w:rsid w:val="08760957"/>
    <w:rsid w:val="08770A71"/>
    <w:rsid w:val="08B17BE1"/>
    <w:rsid w:val="08D40E0B"/>
    <w:rsid w:val="08FD7A44"/>
    <w:rsid w:val="09093579"/>
    <w:rsid w:val="09141BF4"/>
    <w:rsid w:val="09594501"/>
    <w:rsid w:val="0988000E"/>
    <w:rsid w:val="09975029"/>
    <w:rsid w:val="0A1E3055"/>
    <w:rsid w:val="0A241A31"/>
    <w:rsid w:val="0A326057"/>
    <w:rsid w:val="0A39491D"/>
    <w:rsid w:val="0A3E4216"/>
    <w:rsid w:val="0A450B85"/>
    <w:rsid w:val="0A6C0360"/>
    <w:rsid w:val="0A7B04A7"/>
    <w:rsid w:val="0AFD710E"/>
    <w:rsid w:val="0B0D77B0"/>
    <w:rsid w:val="0B4765DB"/>
    <w:rsid w:val="0B491B94"/>
    <w:rsid w:val="0B5D195B"/>
    <w:rsid w:val="0B94510B"/>
    <w:rsid w:val="0BAD643E"/>
    <w:rsid w:val="0C005ABF"/>
    <w:rsid w:val="0C0B3E50"/>
    <w:rsid w:val="0C2A48B1"/>
    <w:rsid w:val="0C897A2A"/>
    <w:rsid w:val="0CAD145B"/>
    <w:rsid w:val="0CC60D00"/>
    <w:rsid w:val="0D3061B1"/>
    <w:rsid w:val="0D463BB0"/>
    <w:rsid w:val="0D770B24"/>
    <w:rsid w:val="0DA84AFE"/>
    <w:rsid w:val="0DD56120"/>
    <w:rsid w:val="0DE911F1"/>
    <w:rsid w:val="0DF5231E"/>
    <w:rsid w:val="0E417312"/>
    <w:rsid w:val="0E5B5EFB"/>
    <w:rsid w:val="0ED32660"/>
    <w:rsid w:val="0EDA076B"/>
    <w:rsid w:val="0EEA6891"/>
    <w:rsid w:val="0EEB6487"/>
    <w:rsid w:val="0F135399"/>
    <w:rsid w:val="0F2A5FF8"/>
    <w:rsid w:val="0F360E40"/>
    <w:rsid w:val="0F582C67"/>
    <w:rsid w:val="0F6806E9"/>
    <w:rsid w:val="0F6C3D5A"/>
    <w:rsid w:val="0F7E1279"/>
    <w:rsid w:val="0F9A0B83"/>
    <w:rsid w:val="0FA1275E"/>
    <w:rsid w:val="0FB27794"/>
    <w:rsid w:val="0FCC3184"/>
    <w:rsid w:val="103E7FAD"/>
    <w:rsid w:val="10AA5642"/>
    <w:rsid w:val="10CD7582"/>
    <w:rsid w:val="10E20F9C"/>
    <w:rsid w:val="10FF296B"/>
    <w:rsid w:val="116C6D9B"/>
    <w:rsid w:val="11F56D91"/>
    <w:rsid w:val="120B3EBE"/>
    <w:rsid w:val="120E39AF"/>
    <w:rsid w:val="12137217"/>
    <w:rsid w:val="121F5BBC"/>
    <w:rsid w:val="12257ED3"/>
    <w:rsid w:val="127D6363"/>
    <w:rsid w:val="12964D0E"/>
    <w:rsid w:val="1299771C"/>
    <w:rsid w:val="12BA61C8"/>
    <w:rsid w:val="13070B2A"/>
    <w:rsid w:val="13623FB2"/>
    <w:rsid w:val="136256DC"/>
    <w:rsid w:val="13CC3B21"/>
    <w:rsid w:val="13E15C2A"/>
    <w:rsid w:val="14174E49"/>
    <w:rsid w:val="141B23B3"/>
    <w:rsid w:val="144968D3"/>
    <w:rsid w:val="14622E44"/>
    <w:rsid w:val="148368D6"/>
    <w:rsid w:val="149503B7"/>
    <w:rsid w:val="14AE3227"/>
    <w:rsid w:val="14B950C8"/>
    <w:rsid w:val="14C173FE"/>
    <w:rsid w:val="14CC2FE4"/>
    <w:rsid w:val="14FC21E4"/>
    <w:rsid w:val="15135779"/>
    <w:rsid w:val="1524753B"/>
    <w:rsid w:val="15415E49"/>
    <w:rsid w:val="15BD1CB8"/>
    <w:rsid w:val="15EE5FD1"/>
    <w:rsid w:val="15FA2BC8"/>
    <w:rsid w:val="165861F2"/>
    <w:rsid w:val="16AC25A8"/>
    <w:rsid w:val="16DA5D65"/>
    <w:rsid w:val="16E00A6F"/>
    <w:rsid w:val="174D6D27"/>
    <w:rsid w:val="176C0F1B"/>
    <w:rsid w:val="176D5CCB"/>
    <w:rsid w:val="17841624"/>
    <w:rsid w:val="17A10E21"/>
    <w:rsid w:val="17A96653"/>
    <w:rsid w:val="17B46C9D"/>
    <w:rsid w:val="17C85590"/>
    <w:rsid w:val="17D82A95"/>
    <w:rsid w:val="18045745"/>
    <w:rsid w:val="18236722"/>
    <w:rsid w:val="18297BB3"/>
    <w:rsid w:val="18315673"/>
    <w:rsid w:val="183323C1"/>
    <w:rsid w:val="186E51A7"/>
    <w:rsid w:val="18716A45"/>
    <w:rsid w:val="187212AC"/>
    <w:rsid w:val="18CB4360"/>
    <w:rsid w:val="18D966D2"/>
    <w:rsid w:val="191120AF"/>
    <w:rsid w:val="1912647A"/>
    <w:rsid w:val="194C318E"/>
    <w:rsid w:val="195F08E7"/>
    <w:rsid w:val="197542AD"/>
    <w:rsid w:val="19977D8A"/>
    <w:rsid w:val="19BE7C49"/>
    <w:rsid w:val="19F1171D"/>
    <w:rsid w:val="1A192CF2"/>
    <w:rsid w:val="1A3F729E"/>
    <w:rsid w:val="1A673E98"/>
    <w:rsid w:val="1A725422"/>
    <w:rsid w:val="1A79617E"/>
    <w:rsid w:val="1AE37DAC"/>
    <w:rsid w:val="1AF844CE"/>
    <w:rsid w:val="1B080EE5"/>
    <w:rsid w:val="1B3F75E1"/>
    <w:rsid w:val="1B5A546C"/>
    <w:rsid w:val="1B617245"/>
    <w:rsid w:val="1B79458F"/>
    <w:rsid w:val="1BD85D3B"/>
    <w:rsid w:val="1C5F40A6"/>
    <w:rsid w:val="1C6A6B78"/>
    <w:rsid w:val="1C7104B7"/>
    <w:rsid w:val="1C7A6BC9"/>
    <w:rsid w:val="1CB369A2"/>
    <w:rsid w:val="1CE04199"/>
    <w:rsid w:val="1CEF6FB4"/>
    <w:rsid w:val="1CEF77DE"/>
    <w:rsid w:val="1CF63F94"/>
    <w:rsid w:val="1D077978"/>
    <w:rsid w:val="1D783268"/>
    <w:rsid w:val="1DC72FE7"/>
    <w:rsid w:val="1DC842EC"/>
    <w:rsid w:val="1DD51824"/>
    <w:rsid w:val="1E875215"/>
    <w:rsid w:val="1EED151B"/>
    <w:rsid w:val="1EF220FA"/>
    <w:rsid w:val="1F0A3BAB"/>
    <w:rsid w:val="1F4D3B23"/>
    <w:rsid w:val="1F7468C8"/>
    <w:rsid w:val="1F841754"/>
    <w:rsid w:val="1F941997"/>
    <w:rsid w:val="1F9B2B2F"/>
    <w:rsid w:val="1FA060F1"/>
    <w:rsid w:val="20586E69"/>
    <w:rsid w:val="20702D99"/>
    <w:rsid w:val="207D13BB"/>
    <w:rsid w:val="20E56222"/>
    <w:rsid w:val="20FD531A"/>
    <w:rsid w:val="21312806"/>
    <w:rsid w:val="21C34E85"/>
    <w:rsid w:val="21EE53FC"/>
    <w:rsid w:val="22280099"/>
    <w:rsid w:val="226B7889"/>
    <w:rsid w:val="2274785E"/>
    <w:rsid w:val="22BE21F0"/>
    <w:rsid w:val="239B75E0"/>
    <w:rsid w:val="23A9148E"/>
    <w:rsid w:val="23CA5246"/>
    <w:rsid w:val="23EC0C7E"/>
    <w:rsid w:val="23F21382"/>
    <w:rsid w:val="23F30C56"/>
    <w:rsid w:val="24020C24"/>
    <w:rsid w:val="240A6030"/>
    <w:rsid w:val="248024EA"/>
    <w:rsid w:val="24A4042D"/>
    <w:rsid w:val="24C95F49"/>
    <w:rsid w:val="25163BE4"/>
    <w:rsid w:val="251A25EA"/>
    <w:rsid w:val="252C5287"/>
    <w:rsid w:val="252E6A39"/>
    <w:rsid w:val="2560231B"/>
    <w:rsid w:val="25F34F3E"/>
    <w:rsid w:val="2630659C"/>
    <w:rsid w:val="26351A08"/>
    <w:rsid w:val="26655E3B"/>
    <w:rsid w:val="26B30035"/>
    <w:rsid w:val="26DC3C24"/>
    <w:rsid w:val="26DD1E76"/>
    <w:rsid w:val="26FD2518"/>
    <w:rsid w:val="27195933"/>
    <w:rsid w:val="277A5916"/>
    <w:rsid w:val="277D5407"/>
    <w:rsid w:val="278E3170"/>
    <w:rsid w:val="27930786"/>
    <w:rsid w:val="27C76682"/>
    <w:rsid w:val="27D327E3"/>
    <w:rsid w:val="281A2F57"/>
    <w:rsid w:val="28302479"/>
    <w:rsid w:val="286D7229"/>
    <w:rsid w:val="2886390B"/>
    <w:rsid w:val="28AF344A"/>
    <w:rsid w:val="28D95914"/>
    <w:rsid w:val="29A053DC"/>
    <w:rsid w:val="2A526C5B"/>
    <w:rsid w:val="2A61691A"/>
    <w:rsid w:val="2A675DB2"/>
    <w:rsid w:val="2AB544C6"/>
    <w:rsid w:val="2ABE6A2E"/>
    <w:rsid w:val="2AC63E3A"/>
    <w:rsid w:val="2AD134D0"/>
    <w:rsid w:val="2B421205"/>
    <w:rsid w:val="2B44429C"/>
    <w:rsid w:val="2B710DDE"/>
    <w:rsid w:val="2B717030"/>
    <w:rsid w:val="2B797161"/>
    <w:rsid w:val="2BA56CDA"/>
    <w:rsid w:val="2BBF5C96"/>
    <w:rsid w:val="2BD32CF3"/>
    <w:rsid w:val="2BE21CDC"/>
    <w:rsid w:val="2BF10826"/>
    <w:rsid w:val="2C062248"/>
    <w:rsid w:val="2C077995"/>
    <w:rsid w:val="2C11611D"/>
    <w:rsid w:val="2C267E1B"/>
    <w:rsid w:val="2C276000"/>
    <w:rsid w:val="2C5C04EB"/>
    <w:rsid w:val="2C970D19"/>
    <w:rsid w:val="2CA156F3"/>
    <w:rsid w:val="2CC85B89"/>
    <w:rsid w:val="2CEF46B1"/>
    <w:rsid w:val="2CFF49DE"/>
    <w:rsid w:val="2D042986"/>
    <w:rsid w:val="2D0637A8"/>
    <w:rsid w:val="2D0B41FC"/>
    <w:rsid w:val="2D431C50"/>
    <w:rsid w:val="2D630BFB"/>
    <w:rsid w:val="2D7B5F44"/>
    <w:rsid w:val="2D9E7E85"/>
    <w:rsid w:val="2DA01E4F"/>
    <w:rsid w:val="2DBE3B18"/>
    <w:rsid w:val="2DE7182C"/>
    <w:rsid w:val="2E402CEA"/>
    <w:rsid w:val="2E7632C6"/>
    <w:rsid w:val="2EA414CB"/>
    <w:rsid w:val="2EA61897"/>
    <w:rsid w:val="2EE70102"/>
    <w:rsid w:val="2F2C2DC8"/>
    <w:rsid w:val="2F397228"/>
    <w:rsid w:val="2F3C75B3"/>
    <w:rsid w:val="2F4570BD"/>
    <w:rsid w:val="2F4D1B62"/>
    <w:rsid w:val="2F6B3D97"/>
    <w:rsid w:val="2FA304B5"/>
    <w:rsid w:val="2FC5646B"/>
    <w:rsid w:val="31207A35"/>
    <w:rsid w:val="31312245"/>
    <w:rsid w:val="3172522D"/>
    <w:rsid w:val="318F0210"/>
    <w:rsid w:val="31B05E48"/>
    <w:rsid w:val="32002EBC"/>
    <w:rsid w:val="325356E2"/>
    <w:rsid w:val="326C0551"/>
    <w:rsid w:val="32A147C6"/>
    <w:rsid w:val="32AF09B7"/>
    <w:rsid w:val="32B9456D"/>
    <w:rsid w:val="32BC7387"/>
    <w:rsid w:val="32C84429"/>
    <w:rsid w:val="32E95D13"/>
    <w:rsid w:val="330A14C3"/>
    <w:rsid w:val="334212B2"/>
    <w:rsid w:val="33447797"/>
    <w:rsid w:val="338B754C"/>
    <w:rsid w:val="339077A6"/>
    <w:rsid w:val="339F04B3"/>
    <w:rsid w:val="33B43F5E"/>
    <w:rsid w:val="33F627C9"/>
    <w:rsid w:val="34045566"/>
    <w:rsid w:val="34155E66"/>
    <w:rsid w:val="343D5340"/>
    <w:rsid w:val="345F6B7A"/>
    <w:rsid w:val="34AC10D9"/>
    <w:rsid w:val="34AE30A3"/>
    <w:rsid w:val="34D7553F"/>
    <w:rsid w:val="352670DE"/>
    <w:rsid w:val="3530039D"/>
    <w:rsid w:val="35366BF5"/>
    <w:rsid w:val="354B26A0"/>
    <w:rsid w:val="354E0A01"/>
    <w:rsid w:val="3583008C"/>
    <w:rsid w:val="35F9034E"/>
    <w:rsid w:val="36300FF3"/>
    <w:rsid w:val="36923616"/>
    <w:rsid w:val="36B7534B"/>
    <w:rsid w:val="370A20E7"/>
    <w:rsid w:val="37296A11"/>
    <w:rsid w:val="373F3FD8"/>
    <w:rsid w:val="37635353"/>
    <w:rsid w:val="37746408"/>
    <w:rsid w:val="379A3E49"/>
    <w:rsid w:val="37B703A7"/>
    <w:rsid w:val="383E029A"/>
    <w:rsid w:val="386F2B4A"/>
    <w:rsid w:val="38FB278B"/>
    <w:rsid w:val="392A081F"/>
    <w:rsid w:val="392E2DE3"/>
    <w:rsid w:val="3938118D"/>
    <w:rsid w:val="39493829"/>
    <w:rsid w:val="39A607ED"/>
    <w:rsid w:val="39AB195F"/>
    <w:rsid w:val="39CD5D7A"/>
    <w:rsid w:val="3A013C75"/>
    <w:rsid w:val="3A1A0893"/>
    <w:rsid w:val="3A323E2F"/>
    <w:rsid w:val="3AED5745"/>
    <w:rsid w:val="3B313993"/>
    <w:rsid w:val="3B3F4F44"/>
    <w:rsid w:val="3B445B48"/>
    <w:rsid w:val="3B4C7172"/>
    <w:rsid w:val="3B7A6022"/>
    <w:rsid w:val="3B7B4451"/>
    <w:rsid w:val="3B9F3D18"/>
    <w:rsid w:val="3BE23632"/>
    <w:rsid w:val="3BFF5557"/>
    <w:rsid w:val="3C29300F"/>
    <w:rsid w:val="3C342025"/>
    <w:rsid w:val="3C584469"/>
    <w:rsid w:val="3C616C08"/>
    <w:rsid w:val="3CA32194"/>
    <w:rsid w:val="3CA52FDE"/>
    <w:rsid w:val="3CAA23A2"/>
    <w:rsid w:val="3CC66AB0"/>
    <w:rsid w:val="3D001FC2"/>
    <w:rsid w:val="3D09356D"/>
    <w:rsid w:val="3D17331F"/>
    <w:rsid w:val="3D1912D6"/>
    <w:rsid w:val="3D287442"/>
    <w:rsid w:val="3D3178F2"/>
    <w:rsid w:val="3D324146"/>
    <w:rsid w:val="3D404AB5"/>
    <w:rsid w:val="3D600CB3"/>
    <w:rsid w:val="3DA94408"/>
    <w:rsid w:val="3DEF04C3"/>
    <w:rsid w:val="3EA03A5D"/>
    <w:rsid w:val="3EE07759"/>
    <w:rsid w:val="3EEB0A50"/>
    <w:rsid w:val="3EF11999"/>
    <w:rsid w:val="3F6D08A1"/>
    <w:rsid w:val="3F8A2017"/>
    <w:rsid w:val="3F8C3FE1"/>
    <w:rsid w:val="3F8C4939"/>
    <w:rsid w:val="3F8F762D"/>
    <w:rsid w:val="3FA87473"/>
    <w:rsid w:val="3FBF6165"/>
    <w:rsid w:val="3FD717F3"/>
    <w:rsid w:val="3FF468EF"/>
    <w:rsid w:val="40030A15"/>
    <w:rsid w:val="40111F29"/>
    <w:rsid w:val="4024421A"/>
    <w:rsid w:val="40244528"/>
    <w:rsid w:val="40402A78"/>
    <w:rsid w:val="406579A2"/>
    <w:rsid w:val="407231D7"/>
    <w:rsid w:val="408234E1"/>
    <w:rsid w:val="409311FD"/>
    <w:rsid w:val="40B71CD9"/>
    <w:rsid w:val="40C63523"/>
    <w:rsid w:val="40D048E5"/>
    <w:rsid w:val="41961147"/>
    <w:rsid w:val="41AE46E3"/>
    <w:rsid w:val="41E023C2"/>
    <w:rsid w:val="420C2CFA"/>
    <w:rsid w:val="42165DE4"/>
    <w:rsid w:val="425C413F"/>
    <w:rsid w:val="42A927C0"/>
    <w:rsid w:val="42BB570A"/>
    <w:rsid w:val="42DE0FF8"/>
    <w:rsid w:val="42E255CA"/>
    <w:rsid w:val="42F454E4"/>
    <w:rsid w:val="431E1BAC"/>
    <w:rsid w:val="432824BB"/>
    <w:rsid w:val="432B58BF"/>
    <w:rsid w:val="43390231"/>
    <w:rsid w:val="43BB2B7F"/>
    <w:rsid w:val="43D877F5"/>
    <w:rsid w:val="43F67691"/>
    <w:rsid w:val="43FA293E"/>
    <w:rsid w:val="44076D56"/>
    <w:rsid w:val="44644441"/>
    <w:rsid w:val="44B02520"/>
    <w:rsid w:val="44F20D8A"/>
    <w:rsid w:val="45474D29"/>
    <w:rsid w:val="454F3AE7"/>
    <w:rsid w:val="455517CB"/>
    <w:rsid w:val="45986DBD"/>
    <w:rsid w:val="459D5443"/>
    <w:rsid w:val="45C83899"/>
    <w:rsid w:val="4614088C"/>
    <w:rsid w:val="46315CB6"/>
    <w:rsid w:val="466F101E"/>
    <w:rsid w:val="46DB28CC"/>
    <w:rsid w:val="472C640A"/>
    <w:rsid w:val="473D4EEF"/>
    <w:rsid w:val="4760647F"/>
    <w:rsid w:val="47D32E64"/>
    <w:rsid w:val="486755EB"/>
    <w:rsid w:val="48862907"/>
    <w:rsid w:val="48C91E02"/>
    <w:rsid w:val="48D92391"/>
    <w:rsid w:val="493262A3"/>
    <w:rsid w:val="494C5ED5"/>
    <w:rsid w:val="49741FE2"/>
    <w:rsid w:val="49A67FF5"/>
    <w:rsid w:val="49D22F38"/>
    <w:rsid w:val="49E05655"/>
    <w:rsid w:val="4A244837"/>
    <w:rsid w:val="4A5144FD"/>
    <w:rsid w:val="4A525E27"/>
    <w:rsid w:val="4AA93C99"/>
    <w:rsid w:val="4B0776BD"/>
    <w:rsid w:val="4B2C5164"/>
    <w:rsid w:val="4B51409F"/>
    <w:rsid w:val="4B6D4CE7"/>
    <w:rsid w:val="4BC8566F"/>
    <w:rsid w:val="4BC93EC7"/>
    <w:rsid w:val="4BE90D9B"/>
    <w:rsid w:val="4BEA4569"/>
    <w:rsid w:val="4C017B05"/>
    <w:rsid w:val="4C241E79"/>
    <w:rsid w:val="4C735CA8"/>
    <w:rsid w:val="4C8B1B49"/>
    <w:rsid w:val="4CFF1A10"/>
    <w:rsid w:val="4D110253"/>
    <w:rsid w:val="4D470CD7"/>
    <w:rsid w:val="4D4B7289"/>
    <w:rsid w:val="4D5756EE"/>
    <w:rsid w:val="4E1F09BA"/>
    <w:rsid w:val="4E3441C2"/>
    <w:rsid w:val="4E761A7B"/>
    <w:rsid w:val="4E7A7DCF"/>
    <w:rsid w:val="4ECD1DD8"/>
    <w:rsid w:val="4ECE7859"/>
    <w:rsid w:val="4F0E4337"/>
    <w:rsid w:val="4F161B19"/>
    <w:rsid w:val="4F404315"/>
    <w:rsid w:val="4F88250B"/>
    <w:rsid w:val="4FFA0AF3"/>
    <w:rsid w:val="501462A4"/>
    <w:rsid w:val="504D156B"/>
    <w:rsid w:val="50715259"/>
    <w:rsid w:val="50A8054F"/>
    <w:rsid w:val="50A84B61"/>
    <w:rsid w:val="50AF1F6D"/>
    <w:rsid w:val="50C20F8E"/>
    <w:rsid w:val="50D2351B"/>
    <w:rsid w:val="50E84DEF"/>
    <w:rsid w:val="51031C29"/>
    <w:rsid w:val="51155195"/>
    <w:rsid w:val="513D08D8"/>
    <w:rsid w:val="51575268"/>
    <w:rsid w:val="517B288E"/>
    <w:rsid w:val="51876FCF"/>
    <w:rsid w:val="51C92E73"/>
    <w:rsid w:val="51F003FF"/>
    <w:rsid w:val="51F31300"/>
    <w:rsid w:val="52011F36"/>
    <w:rsid w:val="522B1438"/>
    <w:rsid w:val="525E6885"/>
    <w:rsid w:val="52C5552E"/>
    <w:rsid w:val="52E02222"/>
    <w:rsid w:val="530879CB"/>
    <w:rsid w:val="53404825"/>
    <w:rsid w:val="53653760"/>
    <w:rsid w:val="537312E8"/>
    <w:rsid w:val="537B019D"/>
    <w:rsid w:val="537F4C78"/>
    <w:rsid w:val="5394300C"/>
    <w:rsid w:val="53AA2830"/>
    <w:rsid w:val="53E37A74"/>
    <w:rsid w:val="54482775"/>
    <w:rsid w:val="54484523"/>
    <w:rsid w:val="54684BC5"/>
    <w:rsid w:val="54A83213"/>
    <w:rsid w:val="54D44008"/>
    <w:rsid w:val="54E35DEC"/>
    <w:rsid w:val="54F975CB"/>
    <w:rsid w:val="550A7A2A"/>
    <w:rsid w:val="550D751A"/>
    <w:rsid w:val="551268DF"/>
    <w:rsid w:val="556422EE"/>
    <w:rsid w:val="55E8347F"/>
    <w:rsid w:val="56BC6CDA"/>
    <w:rsid w:val="57016336"/>
    <w:rsid w:val="57713D91"/>
    <w:rsid w:val="57792910"/>
    <w:rsid w:val="577D1316"/>
    <w:rsid w:val="5780751F"/>
    <w:rsid w:val="57877110"/>
    <w:rsid w:val="57AE6D93"/>
    <w:rsid w:val="581B1F4E"/>
    <w:rsid w:val="58203B3C"/>
    <w:rsid w:val="582B01B6"/>
    <w:rsid w:val="582E78D1"/>
    <w:rsid w:val="58325E7E"/>
    <w:rsid w:val="58AC4CBD"/>
    <w:rsid w:val="58E14F46"/>
    <w:rsid w:val="58E31EE2"/>
    <w:rsid w:val="59205A6E"/>
    <w:rsid w:val="59221505"/>
    <w:rsid w:val="5987789B"/>
    <w:rsid w:val="59EF71EF"/>
    <w:rsid w:val="5A0F7891"/>
    <w:rsid w:val="5A471012"/>
    <w:rsid w:val="5A777D7A"/>
    <w:rsid w:val="5AA74954"/>
    <w:rsid w:val="5AE14A02"/>
    <w:rsid w:val="5AEA612F"/>
    <w:rsid w:val="5B174C4F"/>
    <w:rsid w:val="5B392E17"/>
    <w:rsid w:val="5B7C05AE"/>
    <w:rsid w:val="5C205D85"/>
    <w:rsid w:val="5C2E164A"/>
    <w:rsid w:val="5C6C0FCA"/>
    <w:rsid w:val="5C757393"/>
    <w:rsid w:val="5C7B745F"/>
    <w:rsid w:val="5C8E649F"/>
    <w:rsid w:val="5CA72AF2"/>
    <w:rsid w:val="5CD32DF8"/>
    <w:rsid w:val="5CD66444"/>
    <w:rsid w:val="5CE60DF9"/>
    <w:rsid w:val="5CF60D6D"/>
    <w:rsid w:val="5D0134C1"/>
    <w:rsid w:val="5D227959"/>
    <w:rsid w:val="5D6A18F7"/>
    <w:rsid w:val="5D820585"/>
    <w:rsid w:val="5DA46C2D"/>
    <w:rsid w:val="5DE50D1C"/>
    <w:rsid w:val="5DEB2C25"/>
    <w:rsid w:val="5DFF18C5"/>
    <w:rsid w:val="5E7778E2"/>
    <w:rsid w:val="5E7D301B"/>
    <w:rsid w:val="5F04373C"/>
    <w:rsid w:val="5F225970"/>
    <w:rsid w:val="5F3A0F0C"/>
    <w:rsid w:val="5F507610"/>
    <w:rsid w:val="5F5244A8"/>
    <w:rsid w:val="5F647555"/>
    <w:rsid w:val="5F777E2D"/>
    <w:rsid w:val="5F7A39FE"/>
    <w:rsid w:val="5F7E303B"/>
    <w:rsid w:val="5F88394B"/>
    <w:rsid w:val="5F89674D"/>
    <w:rsid w:val="5FBA3DFB"/>
    <w:rsid w:val="5FE307E1"/>
    <w:rsid w:val="60116111"/>
    <w:rsid w:val="602B0BD5"/>
    <w:rsid w:val="6034779D"/>
    <w:rsid w:val="60573C18"/>
    <w:rsid w:val="606D4EC2"/>
    <w:rsid w:val="60733548"/>
    <w:rsid w:val="607E751E"/>
    <w:rsid w:val="609F6E31"/>
    <w:rsid w:val="60CB745A"/>
    <w:rsid w:val="60EA5239"/>
    <w:rsid w:val="61092146"/>
    <w:rsid w:val="612E2CF2"/>
    <w:rsid w:val="616E1341"/>
    <w:rsid w:val="618F6AAB"/>
    <w:rsid w:val="61E87408"/>
    <w:rsid w:val="62661FA3"/>
    <w:rsid w:val="62751DB7"/>
    <w:rsid w:val="628E1C9B"/>
    <w:rsid w:val="62A768B8"/>
    <w:rsid w:val="62BB2364"/>
    <w:rsid w:val="62CD2097"/>
    <w:rsid w:val="632B5CBF"/>
    <w:rsid w:val="634520EC"/>
    <w:rsid w:val="635E5215"/>
    <w:rsid w:val="63821F51"/>
    <w:rsid w:val="63B523A0"/>
    <w:rsid w:val="63BE1608"/>
    <w:rsid w:val="63FA42A9"/>
    <w:rsid w:val="64010ED9"/>
    <w:rsid w:val="64396D42"/>
    <w:rsid w:val="64626BC5"/>
    <w:rsid w:val="64BD6456"/>
    <w:rsid w:val="64BE076B"/>
    <w:rsid w:val="65515690"/>
    <w:rsid w:val="65B17A4E"/>
    <w:rsid w:val="661C3E14"/>
    <w:rsid w:val="66500DEB"/>
    <w:rsid w:val="665723A3"/>
    <w:rsid w:val="66636786"/>
    <w:rsid w:val="6678066D"/>
    <w:rsid w:val="66CB4B3F"/>
    <w:rsid w:val="67080599"/>
    <w:rsid w:val="67201F39"/>
    <w:rsid w:val="67390D68"/>
    <w:rsid w:val="67673E36"/>
    <w:rsid w:val="67953680"/>
    <w:rsid w:val="67B4104A"/>
    <w:rsid w:val="67BC1058"/>
    <w:rsid w:val="67E70FCB"/>
    <w:rsid w:val="67EA5309"/>
    <w:rsid w:val="681A7B2C"/>
    <w:rsid w:val="68262975"/>
    <w:rsid w:val="68694610"/>
    <w:rsid w:val="687A7176"/>
    <w:rsid w:val="68975621"/>
    <w:rsid w:val="68984BAB"/>
    <w:rsid w:val="68A84721"/>
    <w:rsid w:val="69186811"/>
    <w:rsid w:val="692557EA"/>
    <w:rsid w:val="692B6F9A"/>
    <w:rsid w:val="694036BC"/>
    <w:rsid w:val="6947043C"/>
    <w:rsid w:val="69690273"/>
    <w:rsid w:val="697D4817"/>
    <w:rsid w:val="69904740"/>
    <w:rsid w:val="69C20730"/>
    <w:rsid w:val="69E421A0"/>
    <w:rsid w:val="6A072332"/>
    <w:rsid w:val="6A731776"/>
    <w:rsid w:val="6A942CE9"/>
    <w:rsid w:val="6A9C0CCD"/>
    <w:rsid w:val="6ABC136F"/>
    <w:rsid w:val="6B287DEC"/>
    <w:rsid w:val="6B7071D4"/>
    <w:rsid w:val="6B786A34"/>
    <w:rsid w:val="6BA240C1"/>
    <w:rsid w:val="6C050161"/>
    <w:rsid w:val="6C1F3963"/>
    <w:rsid w:val="6C2D6CB2"/>
    <w:rsid w:val="6C4B4B26"/>
    <w:rsid w:val="6C57289D"/>
    <w:rsid w:val="6C5A2BED"/>
    <w:rsid w:val="6C642F64"/>
    <w:rsid w:val="6CE54BAD"/>
    <w:rsid w:val="6CFF5361"/>
    <w:rsid w:val="6D0D5EB2"/>
    <w:rsid w:val="6D427D2F"/>
    <w:rsid w:val="6D657A9C"/>
    <w:rsid w:val="6D6B7560"/>
    <w:rsid w:val="6D721E1C"/>
    <w:rsid w:val="6D83283D"/>
    <w:rsid w:val="6DBC0F97"/>
    <w:rsid w:val="6DE35975"/>
    <w:rsid w:val="6DE76703"/>
    <w:rsid w:val="6DFD1A82"/>
    <w:rsid w:val="6E2039C3"/>
    <w:rsid w:val="6E255143"/>
    <w:rsid w:val="6E605222"/>
    <w:rsid w:val="6E606222"/>
    <w:rsid w:val="6E7353FE"/>
    <w:rsid w:val="6E865F1C"/>
    <w:rsid w:val="6E892C58"/>
    <w:rsid w:val="6EBC193D"/>
    <w:rsid w:val="6F045092"/>
    <w:rsid w:val="6F176B74"/>
    <w:rsid w:val="6F4B4F26"/>
    <w:rsid w:val="6F8C7562"/>
    <w:rsid w:val="6F9208F0"/>
    <w:rsid w:val="6FA220B1"/>
    <w:rsid w:val="6FBD18A2"/>
    <w:rsid w:val="6FC14D32"/>
    <w:rsid w:val="6FE9085C"/>
    <w:rsid w:val="703419A7"/>
    <w:rsid w:val="704E0FAD"/>
    <w:rsid w:val="704E676C"/>
    <w:rsid w:val="704F058F"/>
    <w:rsid w:val="704F34CF"/>
    <w:rsid w:val="7084521C"/>
    <w:rsid w:val="709237F6"/>
    <w:rsid w:val="70B0226E"/>
    <w:rsid w:val="70E4339B"/>
    <w:rsid w:val="71132313"/>
    <w:rsid w:val="713502C9"/>
    <w:rsid w:val="715513A6"/>
    <w:rsid w:val="718A1021"/>
    <w:rsid w:val="71A010A2"/>
    <w:rsid w:val="71AE3282"/>
    <w:rsid w:val="71D074AE"/>
    <w:rsid w:val="71D10A6E"/>
    <w:rsid w:val="71DB44A2"/>
    <w:rsid w:val="7237336F"/>
    <w:rsid w:val="723839D1"/>
    <w:rsid w:val="72563C24"/>
    <w:rsid w:val="725D6F93"/>
    <w:rsid w:val="726A4AC3"/>
    <w:rsid w:val="72B53C3D"/>
    <w:rsid w:val="72DB435C"/>
    <w:rsid w:val="72F72879"/>
    <w:rsid w:val="734737A0"/>
    <w:rsid w:val="738F7621"/>
    <w:rsid w:val="73B37E7A"/>
    <w:rsid w:val="73F73350"/>
    <w:rsid w:val="74312486"/>
    <w:rsid w:val="743E2DF5"/>
    <w:rsid w:val="74755AB9"/>
    <w:rsid w:val="74856C75"/>
    <w:rsid w:val="74A62A55"/>
    <w:rsid w:val="74DB4D2C"/>
    <w:rsid w:val="75026D05"/>
    <w:rsid w:val="75330480"/>
    <w:rsid w:val="75840CDB"/>
    <w:rsid w:val="75AF3FAA"/>
    <w:rsid w:val="75B81421"/>
    <w:rsid w:val="75BB5B5E"/>
    <w:rsid w:val="75C32AB0"/>
    <w:rsid w:val="75F96FD3"/>
    <w:rsid w:val="76066838"/>
    <w:rsid w:val="762F6ED4"/>
    <w:rsid w:val="763151F9"/>
    <w:rsid w:val="766F7295"/>
    <w:rsid w:val="76C70E7F"/>
    <w:rsid w:val="7726029C"/>
    <w:rsid w:val="774626EC"/>
    <w:rsid w:val="776C245B"/>
    <w:rsid w:val="77ED3E16"/>
    <w:rsid w:val="77ED76CD"/>
    <w:rsid w:val="77F04406"/>
    <w:rsid w:val="783E159F"/>
    <w:rsid w:val="78673398"/>
    <w:rsid w:val="7892069D"/>
    <w:rsid w:val="78956BE1"/>
    <w:rsid w:val="78970D25"/>
    <w:rsid w:val="78A33979"/>
    <w:rsid w:val="78F349FC"/>
    <w:rsid w:val="792202C7"/>
    <w:rsid w:val="79263F52"/>
    <w:rsid w:val="795E792F"/>
    <w:rsid w:val="79CD0EA3"/>
    <w:rsid w:val="7A1E16FE"/>
    <w:rsid w:val="7A307C87"/>
    <w:rsid w:val="7A5C2227"/>
    <w:rsid w:val="7AD87AFF"/>
    <w:rsid w:val="7AE046E2"/>
    <w:rsid w:val="7B1623D5"/>
    <w:rsid w:val="7B4D1359"/>
    <w:rsid w:val="7B821819"/>
    <w:rsid w:val="7BA313B7"/>
    <w:rsid w:val="7BB06386"/>
    <w:rsid w:val="7BC47442"/>
    <w:rsid w:val="7C443E6F"/>
    <w:rsid w:val="7C4D62CB"/>
    <w:rsid w:val="7C507B69"/>
    <w:rsid w:val="7C7620C0"/>
    <w:rsid w:val="7CA95FA6"/>
    <w:rsid w:val="7CBE6DFB"/>
    <w:rsid w:val="7D0270B5"/>
    <w:rsid w:val="7D43322A"/>
    <w:rsid w:val="7D4A1E4C"/>
    <w:rsid w:val="7DA51208"/>
    <w:rsid w:val="7DBA02A2"/>
    <w:rsid w:val="7DCB56F9"/>
    <w:rsid w:val="7DCE00F3"/>
    <w:rsid w:val="7DCE51E9"/>
    <w:rsid w:val="7DDA5284"/>
    <w:rsid w:val="7DFF35F5"/>
    <w:rsid w:val="7E0C694B"/>
    <w:rsid w:val="7E477DBC"/>
    <w:rsid w:val="7E5C27F5"/>
    <w:rsid w:val="7E6478FC"/>
    <w:rsid w:val="7E742EE1"/>
    <w:rsid w:val="7E8C4DCA"/>
    <w:rsid w:val="7EAB7AE1"/>
    <w:rsid w:val="7EB27693"/>
    <w:rsid w:val="7EB470EC"/>
    <w:rsid w:val="7EE60311"/>
    <w:rsid w:val="7EEB5047"/>
    <w:rsid w:val="7EF8215F"/>
    <w:rsid w:val="7F0D3AEF"/>
    <w:rsid w:val="7F0F1615"/>
    <w:rsid w:val="7F363046"/>
    <w:rsid w:val="7F7165A5"/>
    <w:rsid w:val="7F9C4E6B"/>
    <w:rsid w:val="7FAD3E96"/>
    <w:rsid w:val="7FCB2137"/>
    <w:rsid w:val="7FD85EAB"/>
    <w:rsid w:val="7FDB208D"/>
    <w:rsid w:val="7FFB4E84"/>
    <w:rsid w:val="7FFB7D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4">
    <w:name w:val="Default Paragraph Font"/>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3">
    <w:name w:val="Normal Indent"/>
    <w:basedOn w:val="1"/>
    <w:autoRedefine/>
    <w:unhideWhenUsed/>
    <w:qFormat/>
    <w:uiPriority w:val="99"/>
    <w:pPr>
      <w:ind w:firstLine="630"/>
    </w:pPr>
    <w:rPr>
      <w:kern w:val="0"/>
    </w:rPr>
  </w:style>
  <w:style w:type="paragraph" w:styleId="4">
    <w:name w:val="Body Text Indent"/>
    <w:basedOn w:val="1"/>
    <w:next w:val="3"/>
    <w:autoRedefine/>
    <w:unhideWhenUsed/>
    <w:qFormat/>
    <w:uiPriority w:val="99"/>
    <w:pPr>
      <w:spacing w:line="600" w:lineRule="exact"/>
      <w:ind w:firstLine="600" w:firstLineChars="200"/>
    </w:pPr>
    <w:rPr>
      <w:rFonts w:ascii="仿宋_GB2312" w:hAnsi="Calibri" w:eastAsia="宋体"/>
      <w:color w:val="000000"/>
      <w:sz w:val="30"/>
      <w:szCs w:val="22"/>
    </w:rPr>
  </w:style>
  <w:style w:type="paragraph" w:styleId="5">
    <w:name w:val="toc 3"/>
    <w:basedOn w:val="1"/>
    <w:next w:val="1"/>
    <w:autoRedefine/>
    <w:unhideWhenUsed/>
    <w:qFormat/>
    <w:uiPriority w:val="39"/>
    <w:pPr>
      <w:ind w:left="840" w:leftChars="400"/>
    </w:pPr>
  </w:style>
  <w:style w:type="paragraph" w:styleId="6">
    <w:name w:val="footer"/>
    <w:basedOn w:val="1"/>
    <w:autoRedefine/>
    <w:unhideWhenUsed/>
    <w:qFormat/>
    <w:uiPriority w:val="99"/>
    <w:pPr>
      <w:tabs>
        <w:tab w:val="center" w:pos="4153"/>
        <w:tab w:val="right" w:pos="8306"/>
      </w:tabs>
      <w:snapToGrid w:val="0"/>
      <w:jc w:val="left"/>
    </w:pPr>
    <w:rPr>
      <w:sz w:val="18"/>
    </w:rPr>
  </w:style>
  <w:style w:type="paragraph" w:styleId="7">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unhideWhenUsed/>
    <w:qFormat/>
    <w:uiPriority w:val="39"/>
  </w:style>
  <w:style w:type="paragraph" w:styleId="9">
    <w:name w:val="footnote text"/>
    <w:basedOn w:val="1"/>
    <w:autoRedefine/>
    <w:unhideWhenUsed/>
    <w:qFormat/>
    <w:uiPriority w:val="99"/>
    <w:pPr>
      <w:snapToGrid w:val="0"/>
      <w:jc w:val="left"/>
    </w:pPr>
    <w:rPr>
      <w:rFonts w:ascii="Calibri" w:hAnsi="Calibri" w:eastAsia="宋体"/>
      <w:sz w:val="18"/>
      <w:szCs w:val="24"/>
    </w:rPr>
  </w:style>
  <w:style w:type="paragraph" w:styleId="10">
    <w:name w:val="toc 2"/>
    <w:basedOn w:val="1"/>
    <w:next w:val="1"/>
    <w:autoRedefine/>
    <w:unhideWhenUsed/>
    <w:qFormat/>
    <w:uiPriority w:val="39"/>
    <w:pPr>
      <w:ind w:left="420" w:leftChars="200"/>
    </w:pPr>
  </w:style>
  <w:style w:type="paragraph" w:styleId="11">
    <w:name w:val="Normal (Web)"/>
    <w:basedOn w:val="1"/>
    <w:autoRedefine/>
    <w:qFormat/>
    <w:uiPriority w:val="0"/>
    <w:pPr>
      <w:jc w:val="left"/>
    </w:pPr>
    <w:rPr>
      <w:rFonts w:ascii="Calibri" w:hAnsi="Calibri" w:eastAsia="宋体" w:cs="Times New Roman"/>
      <w:kern w:val="0"/>
      <w:sz w:val="24"/>
      <w:szCs w:val="24"/>
    </w:rPr>
  </w:style>
  <w:style w:type="paragraph" w:styleId="12">
    <w:name w:val="Body Text First Indent 2"/>
    <w:basedOn w:val="4"/>
    <w:next w:val="1"/>
    <w:link w:val="27"/>
    <w:autoRedefine/>
    <w:unhideWhenUsed/>
    <w:qFormat/>
    <w:uiPriority w:val="99"/>
    <w:pPr>
      <w:ind w:firstLine="420" w:firstLineChars="200"/>
    </w:pPr>
    <w:rPr>
      <w:rFonts w:eastAsia="仿宋_GB2312"/>
      <w:sz w:val="32"/>
    </w:rPr>
  </w:style>
  <w:style w:type="character" w:styleId="15">
    <w:name w:val="Strong"/>
    <w:basedOn w:val="14"/>
    <w:autoRedefine/>
    <w:qFormat/>
    <w:uiPriority w:val="0"/>
    <w:rPr>
      <w:b/>
    </w:rPr>
  </w:style>
  <w:style w:type="character" w:styleId="16">
    <w:name w:val="Hyperlink"/>
    <w:basedOn w:val="14"/>
    <w:autoRedefine/>
    <w:unhideWhenUsed/>
    <w:qFormat/>
    <w:uiPriority w:val="99"/>
    <w:rPr>
      <w:color w:val="0000FF"/>
      <w:u w:val="single"/>
    </w:rPr>
  </w:style>
  <w:style w:type="character" w:styleId="17">
    <w:name w:val="footnote reference"/>
    <w:autoRedefine/>
    <w:unhideWhenUsed/>
    <w:qFormat/>
    <w:uiPriority w:val="99"/>
    <w:rPr>
      <w:rFonts w:ascii="Calibri" w:hAnsi="Calibri" w:eastAsia="宋体" w:cs="Times New Roman"/>
      <w:vertAlign w:val="superscript"/>
    </w:rPr>
  </w:style>
  <w:style w:type="paragraph" w:customStyle="1" w:styleId="18">
    <w:name w:val="Default"/>
    <w:autoRedefine/>
    <w:qFormat/>
    <w:uiPriority w:val="99"/>
    <w:pPr>
      <w:widowControl w:val="0"/>
      <w:autoSpaceDE w:val="0"/>
      <w:autoSpaceDN w:val="0"/>
      <w:adjustRightInd w:val="0"/>
    </w:pPr>
    <w:rPr>
      <w:rFonts w:ascii="方正公文仿宋" w:hAnsi="Calibri" w:eastAsia="方正公文仿宋" w:cs="Times New Roman"/>
      <w:color w:val="000000"/>
      <w:sz w:val="24"/>
      <w:lang w:val="en-US" w:eastAsia="zh-CN" w:bidi="ar-SA"/>
    </w:rPr>
  </w:style>
  <w:style w:type="paragraph" w:customStyle="1" w:styleId="19">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0">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1">
    <w:name w:val="分类号"/>
    <w:basedOn w:val="1"/>
    <w:autoRedefine/>
    <w:qFormat/>
    <w:uiPriority w:val="0"/>
    <w:rPr>
      <w:rFonts w:ascii="仿宋_GB2312" w:hAnsi="Times New Roman" w:eastAsia="仿宋_GB2312" w:cs="Times New Roman"/>
      <w:sz w:val="28"/>
      <w:szCs w:val="28"/>
    </w:rPr>
  </w:style>
  <w:style w:type="paragraph" w:customStyle="1" w:styleId="22">
    <w:name w:val="封面日期"/>
    <w:basedOn w:val="1"/>
    <w:autoRedefine/>
    <w:qFormat/>
    <w:uiPriority w:val="0"/>
    <w:pPr>
      <w:jc w:val="center"/>
    </w:pPr>
    <w:rPr>
      <w:rFonts w:ascii="黑体" w:hAnsi="Times New Roman" w:eastAsia="黑体" w:cs="Times New Roman"/>
      <w:sz w:val="32"/>
      <w:szCs w:val="32"/>
    </w:rPr>
  </w:style>
  <w:style w:type="paragraph" w:customStyle="1" w:styleId="23">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24">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25">
    <w:name w:val="研究生姓名"/>
    <w:basedOn w:val="1"/>
    <w:autoRedefine/>
    <w:qFormat/>
    <w:uiPriority w:val="0"/>
    <w:pPr>
      <w:ind w:firstLine="700" w:firstLineChars="700"/>
    </w:pPr>
    <w:rPr>
      <w:rFonts w:ascii="Times New Roman" w:hAnsi="Times New Roman" w:eastAsia="宋体" w:cs="Times New Roman"/>
      <w:sz w:val="28"/>
      <w:szCs w:val="28"/>
    </w:rPr>
  </w:style>
  <w:style w:type="paragraph" w:customStyle="1" w:styleId="26">
    <w:name w:val="WPSOffice手动目录 3"/>
    <w:autoRedefine/>
    <w:qFormat/>
    <w:uiPriority w:val="0"/>
    <w:pPr>
      <w:ind w:leftChars="400"/>
    </w:pPr>
    <w:rPr>
      <w:rFonts w:ascii="Times New Roman" w:hAnsi="Times New Roman" w:eastAsia="宋体" w:cs="Times New Roman"/>
      <w:sz w:val="20"/>
      <w:szCs w:val="20"/>
    </w:rPr>
  </w:style>
  <w:style w:type="character" w:customStyle="1" w:styleId="27">
    <w:name w:val="正文首行缩进 2 Char"/>
    <w:link w:val="12"/>
    <w:autoRedefine/>
    <w:qFormat/>
    <w:uiPriority w:val="99"/>
    <w:rPr>
      <w:rFonts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12</Company>
  <Pages>17</Pages>
  <Words>7206</Words>
  <Characters>7486</Characters>
  <Lines>1</Lines>
  <Paragraphs>1</Paragraphs>
  <TotalTime>130</TotalTime>
  <ScaleCrop>false</ScaleCrop>
  <LinksUpToDate>false</LinksUpToDate>
  <CharactersWithSpaces>7647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dpw</cp:lastModifiedBy>
  <cp:lastPrinted>2024-07-15T06:00:00Z</cp:lastPrinted>
  <dcterms:modified xsi:type="dcterms:W3CDTF">2024-07-29T02:22:55Z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5F2A1A1F81A34E6A81CA3A342CCD2E10_13</vt:lpwstr>
  </property>
</Properties>
</file>