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6"/>
          <w:szCs w:val="36"/>
        </w:rPr>
      </w:pPr>
      <w:r>
        <w:rPr>
          <w:rFonts w:hint="eastAsia" w:ascii="黑体" w:hAnsi="黑体" w:eastAsia="黑体" w:cs="黑体"/>
          <w:sz w:val="28"/>
          <w:szCs w:val="28"/>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武汉市文化和旅游市场涉企不予处罚事项清单</w:t>
      </w:r>
    </w:p>
    <w:p>
      <w:pPr>
        <w:jc w:val="center"/>
        <w:rPr>
          <w:rFonts w:ascii="方正小标宋简体" w:hAnsi="方正小标宋简体" w:eastAsia="方正小标宋简体" w:cs="方正小标宋简体"/>
          <w:sz w:val="36"/>
          <w:szCs w:val="36"/>
        </w:rPr>
      </w:pP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064"/>
        <w:gridCol w:w="3109"/>
        <w:gridCol w:w="4214"/>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12" w:space="0"/>
              <w:left w:val="single" w:color="auto" w:sz="12"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序号</w:t>
            </w:r>
          </w:p>
        </w:tc>
        <w:tc>
          <w:tcPr>
            <w:tcW w:w="3064"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处罚事项</w:t>
            </w:r>
          </w:p>
        </w:tc>
        <w:tc>
          <w:tcPr>
            <w:tcW w:w="3109"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不予处罚的情形</w:t>
            </w:r>
          </w:p>
        </w:tc>
        <w:tc>
          <w:tcPr>
            <w:tcW w:w="4214"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罚则</w:t>
            </w:r>
          </w:p>
        </w:tc>
        <w:tc>
          <w:tcPr>
            <w:tcW w:w="3103"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不予处罚的依据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娱乐场所从业人员在营业期间未统一着装并佩带工作标志</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首次发现，当场纠正，没有造成危害后果或危害后果轻微的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《娱乐场所管理条例》第四十九条第(三)项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娱乐场所未在显著位置悬挂娱乐经营许可证</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首次发现，当场纠正，没有造成危害后果或危害后果轻微的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《娱乐场所管理办法》第三十三条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互联网上网服务营业场所终止经营活动，未向文化行政部门办理有关手续或者备案</w:t>
            </w:r>
          </w:p>
        </w:tc>
        <w:tc>
          <w:tcPr>
            <w:tcW w:w="3109" w:type="dxa"/>
            <w:tcBorders>
              <w:top w:val="single" w:color="auto" w:sz="4" w:space="0"/>
              <w:left w:val="single" w:color="auto" w:sz="4" w:space="0"/>
              <w:bottom w:val="single" w:color="auto" w:sz="4" w:space="0"/>
              <w:right w:val="single" w:color="auto" w:sz="4" w:space="0"/>
            </w:tcBorders>
            <w:vAlign w:val="center"/>
          </w:tcPr>
          <w:p>
            <w:pPr>
              <w:pStyle w:val="9"/>
              <w:numPr>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首次发现，积极配合查</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处，在指定的时间内办理备案手续，没有造成危害后果或危害后果轻微的</w:t>
            </w:r>
          </w:p>
          <w:p>
            <w:pPr>
              <w:pStyle w:val="9"/>
              <w:numPr>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当事人有证据足以证</w:t>
            </w:r>
          </w:p>
          <w:p>
            <w:pPr>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《互联网上网服务营业场所管理条例》第三十二条第五项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非经营性互联网文化单位未在其网站主页的显著位置标明备案编号、国务院信息产业主管部门或者省、自治区、直辖市电信管理机构备案编号</w:t>
            </w:r>
          </w:p>
        </w:tc>
        <w:tc>
          <w:tcPr>
            <w:tcW w:w="3109" w:type="dxa"/>
            <w:tcBorders>
              <w:top w:val="single" w:color="auto" w:sz="4" w:space="0"/>
              <w:left w:val="single" w:color="auto" w:sz="4" w:space="0"/>
              <w:bottom w:val="single" w:color="auto" w:sz="4" w:space="0"/>
              <w:right w:val="single" w:color="auto" w:sz="4" w:space="0"/>
            </w:tcBorders>
            <w:vAlign w:val="center"/>
          </w:tcPr>
          <w:p>
            <w:pPr>
              <w:pStyle w:val="9"/>
              <w:numPr>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首次发现，积极配合查</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处，在指定的时间内标明备案编号，没有造成危害后果或危害后果轻微的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当事人有证据足以证</w:t>
            </w:r>
          </w:p>
          <w:p>
            <w:pPr>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《互联网文化管理暂行规定》第二十三条第二款</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网络表演经营单位未在表演频道内及表演音视频上，标注经营单位标识等信息</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首次发现，积极配合查处，在指定的时间内标注信息，没有造成危害后果或危害后果轻微的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《网络表演经营活动管理办法》第二十五条</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《互联网文化管理暂行规定》第二十九条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艺术考级机构艺术考级机构主要负责人、办公地点有变动未按规定向审批机关备案</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1、首次发现，积极配合查处，在指定的时间内办理备案手续，没有造成危害后果或危害后果轻微的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《社会艺术水平考级管理办法》第二十五条第（五）项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其他经营单位增设艺术品经营业务的未按规定办理备案手续</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首次发现，积极配合查处，在指定的时间内办理备案手续，没有造成危害后果或危害后果轻微的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《艺术品经营管理办法》第十九条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旅行社不按照国家有关规定向旅游行政管理部门报送经营和财务信息等统计资料</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首次发现，积极配合查处，在指定的时间内报送资料，没有造成危害后果或危害后果轻微的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《旅行社条例》第五十条第（三）项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旅行社及其分社、服务网点未悬挂旅行社业务经营许可证、备案登记证明</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首次发现，当场改正，没有造成危害后果或危害后果轻微的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《旅行社条例实施细则》第五十七条</w:t>
            </w:r>
          </w:p>
          <w:p>
            <w:pPr>
              <w:rPr>
                <w:rFonts w:hint="eastAsia" w:ascii="仿宋" w:hAnsi="仿宋" w:eastAsia="仿宋" w:cs="仿宋"/>
                <w:sz w:val="24"/>
                <w:szCs w:val="24"/>
              </w:rPr>
            </w:pP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导游人员进行导游活动时未佩戴导游证</w:t>
            </w:r>
          </w:p>
        </w:tc>
        <w:tc>
          <w:tcPr>
            <w:tcW w:w="31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首次发现，当场改正，没有造成危害后果或危害后果轻微的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《导游人员管理条例》第二十一条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导游在执业过程中未携带电子导游证、佩戴导游身份标识，并开启导游执业相关应用软件</w:t>
            </w:r>
          </w:p>
        </w:tc>
        <w:tc>
          <w:tcPr>
            <w:tcW w:w="3109" w:type="dxa"/>
            <w:tcBorders>
              <w:top w:val="single" w:color="auto" w:sz="4" w:space="0"/>
              <w:left w:val="single" w:color="auto" w:sz="4" w:space="0"/>
              <w:bottom w:val="single" w:color="auto" w:sz="4" w:space="0"/>
              <w:right w:val="single" w:color="auto" w:sz="4" w:space="0"/>
            </w:tcBorders>
            <w:vAlign w:val="center"/>
          </w:tcPr>
          <w:p>
            <w:pPr>
              <w:pStyle w:val="9"/>
              <w:numPr>
                <w:numId w:val="0"/>
              </w:numPr>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首次发现，当场改正，</w:t>
            </w:r>
          </w:p>
          <w:p>
            <w:pPr>
              <w:rPr>
                <w:rFonts w:hint="eastAsia" w:ascii="仿宋" w:hAnsi="仿宋" w:eastAsia="仿宋" w:cs="仿宋"/>
                <w:sz w:val="24"/>
                <w:szCs w:val="24"/>
                <w:lang w:eastAsia="zh-CN"/>
              </w:rPr>
            </w:pPr>
            <w:r>
              <w:rPr>
                <w:rFonts w:hint="eastAsia" w:ascii="仿宋" w:hAnsi="仿宋" w:eastAsia="仿宋" w:cs="仿宋"/>
                <w:sz w:val="24"/>
                <w:szCs w:val="24"/>
              </w:rPr>
              <w:t>没有造成危害后果或危害后果轻微的</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当事人有证据足以证</w:t>
            </w:r>
          </w:p>
          <w:p>
            <w:pPr>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《导游管理办法》第三十二条第（二）项</w:t>
            </w:r>
            <w:r>
              <w:rPr>
                <w:rFonts w:hint="eastAsia" w:ascii="仿宋" w:hAnsi="仿宋" w:eastAsia="仿宋" w:cs="仿宋"/>
                <w:sz w:val="24"/>
                <w:szCs w:val="24"/>
                <w:lang w:eastAsia="zh-CN"/>
              </w:rPr>
              <w:t>；</w:t>
            </w:r>
            <w:r>
              <w:rPr>
                <w:rFonts w:hint="eastAsia" w:ascii="仿宋" w:hAnsi="仿宋" w:eastAsia="仿宋" w:cs="仿宋"/>
                <w:sz w:val="24"/>
                <w:szCs w:val="24"/>
              </w:rPr>
              <w:t>《导游人员管理条例》第二十一条</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旅行社或者旅游行业组织未按期报告信息变更情况</w:t>
            </w:r>
          </w:p>
        </w:tc>
        <w:tc>
          <w:tcPr>
            <w:tcW w:w="310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首次发现，积极配合查处，在指定的时间内报告情况，没有造成危害后果或危害后果轻微的</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jc w:val="left"/>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《导游管理办法》第三十三条第一款第（一）项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导游未按期报告信息变更情况</w:t>
            </w:r>
          </w:p>
        </w:tc>
        <w:tc>
          <w:tcPr>
            <w:tcW w:w="310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首次发现，积极配合查处，在指定的时间内报告情况，没有造成危害后果或危害后果轻微的</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jc w:val="left"/>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《导游管理办法》第三十三条第一款第（一）项</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30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旅行社不按要求报备领队信息及变更情况</w:t>
            </w:r>
          </w:p>
        </w:tc>
        <w:tc>
          <w:tcPr>
            <w:tcW w:w="310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首次发现，积极配合查处，在指定的时间内报备，没有造成危害后果或危害后果轻微的</w:t>
            </w:r>
          </w:p>
          <w:p>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当事人有证据足以证</w:t>
            </w:r>
          </w:p>
          <w:p>
            <w:pPr>
              <w:jc w:val="left"/>
              <w:rPr>
                <w:rFonts w:hint="eastAsia" w:ascii="仿宋" w:hAnsi="仿宋" w:eastAsia="仿宋" w:cs="仿宋"/>
                <w:sz w:val="24"/>
                <w:szCs w:val="24"/>
              </w:rPr>
            </w:pPr>
            <w:r>
              <w:rPr>
                <w:rFonts w:hint="eastAsia" w:ascii="仿宋" w:hAnsi="仿宋" w:eastAsia="仿宋" w:cs="仿宋"/>
                <w:sz w:val="24"/>
                <w:szCs w:val="24"/>
              </w:rPr>
              <w:t>明没有主观过错的</w:t>
            </w:r>
          </w:p>
        </w:tc>
        <w:tc>
          <w:tcPr>
            <w:tcW w:w="4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《导游管理办法》第三十六条第一款</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w:t>
            </w:r>
            <w:bookmarkStart w:id="0" w:name="_GoBack"/>
            <w:bookmarkEnd w:id="0"/>
            <w:r>
              <w:rPr>
                <w:rFonts w:hint="eastAsia" w:ascii="仿宋" w:hAnsi="仿宋" w:eastAsia="仿宋" w:cs="仿宋"/>
                <w:sz w:val="24"/>
                <w:szCs w:val="24"/>
              </w:rPr>
              <w:t>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bl>
    <w:p>
      <w:pPr>
        <w:rPr>
          <w:rFonts w:hint="eastAsia" w:ascii="仿宋" w:hAnsi="仿宋" w:eastAsia="仿宋" w:cs="仿宋"/>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E0F4D"/>
    <w:rsid w:val="000021D5"/>
    <w:rsid w:val="00086E74"/>
    <w:rsid w:val="0009269C"/>
    <w:rsid w:val="001050CB"/>
    <w:rsid w:val="00384A21"/>
    <w:rsid w:val="003F7692"/>
    <w:rsid w:val="0042165F"/>
    <w:rsid w:val="004222A0"/>
    <w:rsid w:val="004F1708"/>
    <w:rsid w:val="005901A2"/>
    <w:rsid w:val="005C38C3"/>
    <w:rsid w:val="006F5C7F"/>
    <w:rsid w:val="00854ACF"/>
    <w:rsid w:val="00975420"/>
    <w:rsid w:val="009B0EA7"/>
    <w:rsid w:val="00A3222E"/>
    <w:rsid w:val="00BE483F"/>
    <w:rsid w:val="00D25873"/>
    <w:rsid w:val="00DB0786"/>
    <w:rsid w:val="00F42C7B"/>
    <w:rsid w:val="00FC2546"/>
    <w:rsid w:val="02CC4CEB"/>
    <w:rsid w:val="064E0F4D"/>
    <w:rsid w:val="08B53960"/>
    <w:rsid w:val="09022E48"/>
    <w:rsid w:val="11BE3F1A"/>
    <w:rsid w:val="13FE3816"/>
    <w:rsid w:val="1B0777CE"/>
    <w:rsid w:val="1F1A54F6"/>
    <w:rsid w:val="21BF0B0F"/>
    <w:rsid w:val="24CA45C5"/>
    <w:rsid w:val="27451DEC"/>
    <w:rsid w:val="2CE67AAA"/>
    <w:rsid w:val="310655BD"/>
    <w:rsid w:val="3276387B"/>
    <w:rsid w:val="39E84F36"/>
    <w:rsid w:val="3A263E58"/>
    <w:rsid w:val="3FAB7B7D"/>
    <w:rsid w:val="4A513E16"/>
    <w:rsid w:val="51B9150E"/>
    <w:rsid w:val="538C545E"/>
    <w:rsid w:val="5A420031"/>
    <w:rsid w:val="5A727A04"/>
    <w:rsid w:val="6DA64D79"/>
    <w:rsid w:val="77B23356"/>
    <w:rsid w:val="7A640A05"/>
    <w:rsid w:val="7B7D55DC"/>
    <w:rsid w:val="7DD8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233</Words>
  <Characters>1334</Characters>
  <Lines>11</Lines>
  <Paragraphs>3</Paragraphs>
  <TotalTime>0</TotalTime>
  <ScaleCrop>false</ScaleCrop>
  <LinksUpToDate>false</LinksUpToDate>
  <CharactersWithSpaces>1564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2021-03-17T00:34:00Z</dcterms:created>
  <dc:creator>lenovo</dc:creator>
  <cp:lastModifiedBy>I got it</cp:lastModifiedBy>
  <cp:lastPrinted>2021-03-30T09:23:00Z</cp:lastPrinted>
  <dcterms:modified xsi:type="dcterms:W3CDTF">2021-03-31T03:19:50Z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F07532CFBC1E481D8E074F37642B6F61</vt:lpwstr>
  </property>
</Properties>
</file>